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A80DB" w14:textId="0F86A8C3"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w:t>
      </w:r>
      <w:r>
        <w:rPr>
          <w:rFonts w:ascii="Calibri" w:hAnsi="Calibri"/>
          <w:b/>
          <w:bCs/>
          <w:sz w:val="22"/>
          <w:szCs w:val="22"/>
        </w:rPr>
        <w:t>b</w:t>
      </w:r>
      <w:r w:rsidRPr="00333B13">
        <w:rPr>
          <w:rFonts w:ascii="Calibri" w:hAnsi="Calibri"/>
          <w:b/>
          <w:bCs/>
          <w:sz w:val="22"/>
          <w:szCs w:val="22"/>
        </w:rPr>
        <w:t xml:space="preserve">)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7777777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3D269F" w:rsidRPr="001F7F4A">
        <w:rPr>
          <w:rFonts w:ascii="Calibri" w:hAnsi="Calibri" w:cs="Calibri"/>
          <w:sz w:val="22"/>
          <w:szCs w:val="22"/>
        </w:rPr>
        <w:t>Františkem Lešundákem</w:t>
      </w:r>
      <w:r w:rsidRPr="001F7F4A">
        <w:rPr>
          <w:rFonts w:ascii="Calibri" w:hAnsi="Calibri" w:cs="Calibri"/>
          <w:sz w:val="22"/>
          <w:szCs w:val="22"/>
        </w:rPr>
        <w:t>, 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77777777"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p>
    <w:p w14:paraId="1C27FBA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Fax:</w:t>
      </w:r>
    </w:p>
    <w:p w14:paraId="44EE45C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p>
    <w:p w14:paraId="03F6E24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p>
    <w:p w14:paraId="31532CC9" w14:textId="77777777" w:rsidR="00AF66FC" w:rsidRPr="001F7F4A" w:rsidRDefault="001736AD" w:rsidP="00AF66FC">
      <w:pPr>
        <w:rPr>
          <w:rFonts w:ascii="Calibri" w:hAnsi="Calibri" w:cs="Calibri"/>
          <w:sz w:val="22"/>
          <w:szCs w:val="22"/>
        </w:rPr>
      </w:pPr>
      <w:r w:rsidRPr="001F7F4A">
        <w:rPr>
          <w:rFonts w:ascii="Calibri" w:hAnsi="Calibri" w:cs="Calibri"/>
          <w:sz w:val="22"/>
          <w:szCs w:val="22"/>
        </w:rPr>
        <w:t>dále jen „objednatel</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77777777"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5866B97C"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77E6A7A1"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Datová schránka:</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Adresa pro doručování:</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77777777" w:rsidR="00AF66FC" w:rsidRPr="001F7F4A" w:rsidRDefault="002B7F32" w:rsidP="00AF66FC">
      <w:pPr>
        <w:rPr>
          <w:rFonts w:ascii="Calibri" w:hAnsi="Calibri" w:cs="Calibri"/>
          <w:sz w:val="22"/>
          <w:szCs w:val="22"/>
        </w:rPr>
      </w:pPr>
      <w:r w:rsidRPr="001F7F4A">
        <w:rPr>
          <w:rFonts w:ascii="Calibri" w:hAnsi="Calibri" w:cs="Calibri"/>
          <w:sz w:val="22"/>
          <w:szCs w:val="22"/>
        </w:rPr>
        <w:t>dále jen „posky</w:t>
      </w:r>
      <w:r w:rsidR="001736AD" w:rsidRPr="001F7F4A">
        <w:rPr>
          <w:rFonts w:ascii="Calibri" w:hAnsi="Calibri" w:cs="Calibri"/>
          <w:sz w:val="22"/>
          <w:szCs w:val="22"/>
        </w:rPr>
        <w:t>tovatel</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5B892999" w14:textId="71DB2C2B" w:rsidR="00B57DD9" w:rsidRPr="001F7F4A" w:rsidRDefault="00B57DD9" w:rsidP="004839E6">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Podkladem pro uzavření této Smlouvy je nabídka Prodávajícího ze dne „</w:t>
      </w:r>
      <w:r w:rsidRPr="001F7F4A">
        <w:rPr>
          <w:rFonts w:ascii="Calibri" w:hAnsi="Calibri" w:cs="Calibri"/>
          <w:b/>
          <w:bCs/>
          <w:sz w:val="22"/>
          <w:szCs w:val="22"/>
          <w:highlight w:val="yellow"/>
        </w:rPr>
        <w:t>DOPLNÍ ÚČASTNÍK</w:t>
      </w:r>
      <w:r w:rsidRPr="001F7F4A">
        <w:rPr>
          <w:rFonts w:ascii="Calibri" w:hAnsi="Calibri" w:cs="Calibri"/>
          <w:sz w:val="22"/>
          <w:szCs w:val="22"/>
        </w:rPr>
        <w:t>“ (dále jen „Nabídka“) podaná ve veřejné zakázce: „</w:t>
      </w:r>
      <w:r w:rsidR="001021B3">
        <w:rPr>
          <w:rFonts w:ascii="Calibri" w:hAnsi="Calibri" w:cs="Calibri"/>
          <w:b/>
          <w:sz w:val="22"/>
          <w:szCs w:val="22"/>
        </w:rPr>
        <w:t>Laboratorní linka</w:t>
      </w:r>
      <w:r w:rsidRPr="001F7F4A">
        <w:rPr>
          <w:rFonts w:ascii="Calibri" w:hAnsi="Calibri" w:cs="Calibri"/>
          <w:sz w:val="22"/>
          <w:szCs w:val="22"/>
        </w:rPr>
        <w:t>“</w:t>
      </w:r>
      <w:r w:rsidR="001021B3">
        <w:rPr>
          <w:rFonts w:ascii="Calibri" w:hAnsi="Calibri" w:cs="Calibri"/>
          <w:sz w:val="22"/>
          <w:szCs w:val="22"/>
        </w:rPr>
        <w:t>.</w:t>
      </w:r>
      <w:r w:rsidR="00333B13" w:rsidRPr="00333B13">
        <w:rPr>
          <w:rFonts w:ascii="Calibri" w:hAnsi="Calibri" w:cs="Calibri"/>
          <w:b/>
          <w:bCs/>
          <w:sz w:val="22"/>
          <w:szCs w:val="22"/>
        </w:rPr>
        <w:t xml:space="preserve"> </w:t>
      </w:r>
      <w:r w:rsidRPr="001F7F4A">
        <w:rPr>
          <w:rFonts w:ascii="Calibri" w:hAnsi="Calibri" w:cs="Calibri"/>
          <w:sz w:val="22"/>
          <w:szCs w:val="22"/>
        </w:rPr>
        <w:t>Účelem této smlouvy je úprava práv a povinností smluvních stran při zajištění dodávky zboží na základě podmínek a zadávací dokumentace zadávacího řízení Veřejné zakázky. Mezi kupujícím jako zadavatelem této veřejné zakázky a prodávajícím jako vybraným účastníkem Veřejné zakázky je uzavřena tato smlouva.</w:t>
      </w:r>
    </w:p>
    <w:p w14:paraId="380DBA49"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bookmarkStart w:id="0" w:name="_Hlk536536353"/>
    </w:p>
    <w:bookmarkEnd w:id="0"/>
    <w:p w14:paraId="01B044FC" w14:textId="79007F01"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lastRenderedPageBreak/>
        <w:t xml:space="preserve">Předmětem této smlouvy je závazek Prodávajícího zajistit po celou dobu trvání této smlouvy pro kupujícího dodávky zboží specifikovaného v příloze A (dále jen „zboží“) této smlouvy – v soupisu </w:t>
      </w:r>
      <w:r w:rsidR="00AE079D">
        <w:rPr>
          <w:rFonts w:ascii="Calibri" w:hAnsi="Calibri" w:cs="Calibri"/>
          <w:sz w:val="22"/>
          <w:szCs w:val="22"/>
        </w:rPr>
        <w:t xml:space="preserve">spotřebního materiálu k </w:t>
      </w:r>
      <w:r w:rsidRPr="001F7F4A">
        <w:rPr>
          <w:rFonts w:ascii="Calibri" w:hAnsi="Calibri" w:cs="Calibri"/>
          <w:sz w:val="22"/>
          <w:szCs w:val="22"/>
        </w:rPr>
        <w:t>jednotlivý</w:t>
      </w:r>
      <w:r w:rsidR="00AE079D">
        <w:rPr>
          <w:rFonts w:ascii="Calibri" w:hAnsi="Calibri" w:cs="Calibri"/>
          <w:sz w:val="22"/>
          <w:szCs w:val="22"/>
        </w:rPr>
        <w:t>m</w:t>
      </w:r>
      <w:r w:rsidRPr="001F7F4A">
        <w:rPr>
          <w:rFonts w:ascii="Calibri" w:hAnsi="Calibri" w:cs="Calibri"/>
          <w:sz w:val="22"/>
          <w:szCs w:val="22"/>
        </w:rPr>
        <w:t xml:space="preserve"> </w:t>
      </w:r>
      <w:r w:rsidR="00AE079D">
        <w:rPr>
          <w:rFonts w:ascii="Calibri" w:hAnsi="Calibri" w:cs="Calibri"/>
          <w:sz w:val="22"/>
          <w:szCs w:val="22"/>
        </w:rPr>
        <w:t>testů</w:t>
      </w:r>
      <w:r w:rsidR="00E12FCD">
        <w:rPr>
          <w:rFonts w:ascii="Calibri" w:hAnsi="Calibri" w:cs="Calibri"/>
          <w:sz w:val="22"/>
          <w:szCs w:val="22"/>
        </w:rPr>
        <w:t>m</w:t>
      </w:r>
      <w:r w:rsidR="00AE079D">
        <w:rPr>
          <w:rFonts w:ascii="Calibri" w:hAnsi="Calibri" w:cs="Calibri"/>
          <w:sz w:val="22"/>
          <w:szCs w:val="22"/>
        </w:rPr>
        <w:t xml:space="preserve">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62532F71" w14:textId="77777777" w:rsidR="00B57DD9" w:rsidRPr="001F7F4A" w:rsidRDefault="00B57DD9" w:rsidP="00B57DD9">
      <w:pPr>
        <w:pStyle w:val="Odstavecseseznamem"/>
        <w:rPr>
          <w:rFonts w:ascii="Calibri" w:hAnsi="Calibri" w:cs="Calibri"/>
          <w:szCs w:val="22"/>
        </w:rPr>
      </w:pPr>
    </w:p>
    <w:p w14:paraId="2C4FEF3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199412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F64B6FA"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15CC77CE"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601CCB49"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4BAFAB3A"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2D48A5A4"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p>
    <w:p w14:paraId="570748B0"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r w:rsidRPr="001F7F4A">
        <w:rPr>
          <w:rFonts w:ascii="Calibri" w:hAnsi="Calibri" w:cs="Calibri"/>
          <w:sz w:val="22"/>
          <w:szCs w:val="22"/>
        </w:rPr>
        <w:t xml:space="preserve"> </w:t>
      </w:r>
    </w:p>
    <w:p w14:paraId="4D7C660C" w14:textId="77777777" w:rsidR="00B57DD9" w:rsidRPr="001F7F4A"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B57DD9">
      <w:pPr>
        <w:pStyle w:val="Bezmezer"/>
        <w:numPr>
          <w:ilvl w:val="0"/>
          <w:numId w:val="22"/>
        </w:numPr>
        <w:tabs>
          <w:tab w:val="left" w:pos="-3261"/>
          <w:tab w:val="left" w:pos="-2835"/>
          <w:tab w:val="left" w:pos="-1276"/>
        </w:tabs>
        <w:suppressAutoHyphens/>
        <w:spacing w:after="240"/>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Veřejné zakázky. </w:t>
      </w:r>
    </w:p>
    <w:p w14:paraId="1FA2550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77777777"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 xml:space="preserve">Prodávající: </w:t>
      </w:r>
      <w:r w:rsidRPr="001F7F4A">
        <w:rPr>
          <w:rFonts w:ascii="Calibri" w:hAnsi="Calibri" w:cs="Calibri"/>
          <w:sz w:val="22"/>
          <w:szCs w:val="22"/>
        </w:rPr>
        <w:tab/>
      </w:r>
      <w:r w:rsidRPr="001F7F4A">
        <w:rPr>
          <w:rFonts w:ascii="Calibri" w:hAnsi="Calibri" w:cs="Calibri"/>
          <w:b/>
          <w:bCs/>
          <w:sz w:val="22"/>
          <w:szCs w:val="22"/>
          <w:highlight w:val="yellow"/>
        </w:rPr>
        <w:t>DOPLNÍ  ÚČASTNÍK</w:t>
      </w:r>
      <w:r w:rsidRPr="001F7F4A">
        <w:rPr>
          <w:rFonts w:ascii="Calibri" w:hAnsi="Calibri" w:cs="Calibri"/>
          <w:sz w:val="22"/>
          <w:szCs w:val="22"/>
          <w:highlight w:val="yellow"/>
        </w:rPr>
        <w:t>…………………………..@.......................</w:t>
      </w:r>
      <w:r w:rsidRPr="001F7F4A">
        <w:rPr>
          <w:rFonts w:ascii="Calibri" w:hAnsi="Calibri" w:cs="Calibri"/>
          <w:sz w:val="22"/>
          <w:szCs w:val="22"/>
        </w:rPr>
        <w:t>.</w:t>
      </w:r>
    </w:p>
    <w:p w14:paraId="508879D3" w14:textId="4035A258" w:rsidR="00E71DB4" w:rsidRPr="003C73E9" w:rsidRDefault="00B57DD9" w:rsidP="003C73E9">
      <w:pPr>
        <w:pStyle w:val="Odstavecseseznamem"/>
        <w:numPr>
          <w:ilvl w:val="0"/>
          <w:numId w:val="11"/>
        </w:numPr>
        <w:rPr>
          <w:szCs w:val="22"/>
        </w:rPr>
      </w:pPr>
      <w:r w:rsidRPr="003C73E9">
        <w:rPr>
          <w:rFonts w:ascii="Calibri" w:hAnsi="Calibri" w:cs="Calibri"/>
          <w:szCs w:val="22"/>
        </w:rPr>
        <w:t>Kupující:</w:t>
      </w:r>
      <w:r w:rsidRPr="003C73E9">
        <w:rPr>
          <w:rFonts w:ascii="Calibri" w:hAnsi="Calibri" w:cs="Calibri"/>
          <w:szCs w:val="22"/>
        </w:rPr>
        <w:tab/>
        <w:t xml:space="preserve"> </w:t>
      </w:r>
      <w:r w:rsidR="001021B3">
        <w:t>(bude doplněno před podpisem smlouvy)</w:t>
      </w:r>
    </w:p>
    <w:p w14:paraId="1B7574DF" w14:textId="1EB67A15" w:rsidR="00B57DD9" w:rsidRPr="001F7F4A" w:rsidRDefault="00B57DD9" w:rsidP="003C73E9">
      <w:pPr>
        <w:pStyle w:val="Zkladntext"/>
        <w:widowControl w:val="0"/>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ind w:left="720"/>
        <w:jc w:val="both"/>
        <w:rPr>
          <w:rFonts w:ascii="Calibri" w:hAnsi="Calibri" w:cs="Calibri"/>
          <w:sz w:val="22"/>
          <w:szCs w:val="22"/>
        </w:rPr>
      </w:pPr>
    </w:p>
    <w:p w14:paraId="04113F32" w14:textId="5FCD1CFE"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r w:rsidR="00D578E0">
        <w:rPr>
          <w:rFonts w:ascii="Calibri" w:hAnsi="Calibri" w:cs="Calibri"/>
          <w:sz w:val="22"/>
          <w:szCs w:val="22"/>
        </w:rPr>
        <w:t>hana.podivinska@nempk.cz</w:t>
      </w:r>
      <w:r w:rsidR="001A7DF1" w:rsidRPr="001F7F4A">
        <w:rPr>
          <w:rFonts w:ascii="Calibri" w:hAnsi="Calibri" w:cs="Calibri"/>
          <w:sz w:val="22"/>
          <w:szCs w:val="22"/>
        </w:rPr>
        <w:t xml:space="preserve"> </w:t>
      </w:r>
      <w:r w:rsidRPr="001F7F4A">
        <w:rPr>
          <w:rFonts w:ascii="Calibri" w:hAnsi="Calibri" w:cs="Calibri"/>
          <w:sz w:val="22"/>
          <w:szCs w:val="22"/>
        </w:rPr>
        <w:t>.</w:t>
      </w:r>
    </w:p>
    <w:p w14:paraId="24B20CC6" w14:textId="0DCE4182"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w:t>
      </w:r>
      <w:proofErr w:type="spellStart"/>
      <w:r w:rsidRPr="001F7F4A">
        <w:rPr>
          <w:rFonts w:ascii="Calibri" w:hAnsi="Calibri" w:cs="Calibri"/>
          <w:sz w:val="22"/>
          <w:szCs w:val="22"/>
        </w:rPr>
        <w:t>pdf</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csv</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xls</w:t>
      </w:r>
      <w:proofErr w:type="spellEnd"/>
      <w:r w:rsidRPr="001F7F4A">
        <w:rPr>
          <w:rFonts w:ascii="Calibri" w:hAnsi="Calibri" w:cs="Calibri"/>
          <w:sz w:val="22"/>
          <w:szCs w:val="22"/>
        </w:rPr>
        <w:t xml:space="preserve">(x), </w:t>
      </w:r>
      <w:proofErr w:type="spellStart"/>
      <w:r w:rsidRPr="001F7F4A">
        <w:rPr>
          <w:rFonts w:ascii="Calibri" w:hAnsi="Calibri" w:cs="Calibri"/>
          <w:sz w:val="22"/>
          <w:szCs w:val="22"/>
        </w:rPr>
        <w:t>xml</w:t>
      </w:r>
      <w:proofErr w:type="spellEnd"/>
      <w:r w:rsidRPr="001F7F4A">
        <w:rPr>
          <w:rFonts w:ascii="Calibri" w:hAnsi="Calibri" w:cs="Calibri"/>
          <w:sz w:val="22"/>
          <w:szCs w:val="22"/>
        </w:rPr>
        <w:t xml:space="preserve"> nebo PDK; případně vyplněním formuláře zaslaného současně s objednávkou kupujícím. </w:t>
      </w:r>
    </w:p>
    <w:p w14:paraId="4A8CCEE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Prodávající je oprávněn po splnění předmětu objednávky vystavit fakturu.</w:t>
      </w:r>
    </w:p>
    <w:p w14:paraId="54FEB62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B57DD9">
      <w:pPr>
        <w:pStyle w:val="Odstavecseseznamem"/>
        <w:numPr>
          <w:ilvl w:val="0"/>
          <w:numId w:val="13"/>
        </w:numPr>
        <w:autoSpaceDE w:val="0"/>
        <w:autoSpaceDN w:val="0"/>
        <w:adjustRightInd w:val="0"/>
        <w:spacing w:after="240"/>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1775CC04"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2C1653">
        <w:rPr>
          <w:rFonts w:ascii="Calibri" w:hAnsi="Calibri" w:cs="Calibri"/>
          <w:sz w:val="22"/>
          <w:szCs w:val="22"/>
        </w:rPr>
        <w:t>Litomyšlská</w:t>
      </w:r>
      <w:r w:rsidR="002C1653" w:rsidRPr="002378BD">
        <w:rPr>
          <w:rFonts w:ascii="Calibri" w:hAnsi="Calibri" w:cs="Calibri"/>
          <w:sz w:val="22"/>
          <w:szCs w:val="22"/>
        </w:rPr>
        <w:t xml:space="preserve"> nemocnice, J. E. Purkyně 652, 570 14 </w:t>
      </w:r>
      <w:proofErr w:type="spellStart"/>
      <w:r w:rsidR="002C1653" w:rsidRPr="002378BD">
        <w:rPr>
          <w:rFonts w:ascii="Calibri" w:hAnsi="Calibri" w:cs="Calibri"/>
          <w:sz w:val="22"/>
          <w:szCs w:val="22"/>
        </w:rPr>
        <w:t>Litomyšl</w:t>
      </w:r>
      <w:bookmarkEnd w:id="1"/>
      <w:r w:rsidR="003C73E9">
        <w:rPr>
          <w:rFonts w:ascii="Calibri" w:hAnsi="Calibri" w:cs="Calibri"/>
          <w:sz w:val="22"/>
          <w:szCs w:val="22"/>
        </w:rPr>
        <w:t>,</w:t>
      </w:r>
      <w:r w:rsidR="000E144B">
        <w:rPr>
          <w:rFonts w:ascii="Calibri" w:hAnsi="Calibri" w:cs="Calibri"/>
          <w:sz w:val="22"/>
          <w:szCs w:val="22"/>
        </w:rPr>
        <w:t>pracoviště</w:t>
      </w:r>
      <w:proofErr w:type="spellEnd"/>
      <w:r w:rsidR="000E144B">
        <w:rPr>
          <w:rFonts w:ascii="Calibri" w:hAnsi="Calibri" w:cs="Calibri"/>
          <w:sz w:val="22"/>
          <w:szCs w:val="22"/>
        </w:rPr>
        <w:t xml:space="preserve"> IDG.</w:t>
      </w:r>
    </w:p>
    <w:p w14:paraId="4238F2D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nabývá vlastnické právo ke kupovanému zboží okamžikem jeho převzetí.</w:t>
      </w:r>
    </w:p>
    <w:p w14:paraId="1DC7F9AB"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78163AC3" w14:textId="77777777" w:rsidR="00B57DD9" w:rsidRPr="001F7F4A" w:rsidRDefault="00B57DD9" w:rsidP="00B57DD9">
      <w:pPr>
        <w:pStyle w:val="Bezmezer"/>
        <w:numPr>
          <w:ilvl w:val="0"/>
          <w:numId w:val="22"/>
        </w:numPr>
        <w:suppressAutoHyphens/>
        <w:spacing w:after="240"/>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B57DD9">
      <w:pPr>
        <w:pStyle w:val="Bezmezer"/>
        <w:numPr>
          <w:ilvl w:val="0"/>
          <w:numId w:val="22"/>
        </w:numPr>
        <w:suppressAutoHyphens/>
        <w:spacing w:after="240"/>
        <w:jc w:val="both"/>
        <w:rPr>
          <w:rFonts w:cs="Calibri"/>
        </w:rPr>
      </w:pPr>
      <w:r w:rsidRPr="001F7F4A">
        <w:rPr>
          <w:rFonts w:cs="Calibri"/>
        </w:rPr>
        <w:t>Prodávající se zavazuje, že s dodávaným zbožím bude nakládat výlučně v souladu s platnými předpisy, v platných zněních.</w:t>
      </w:r>
    </w:p>
    <w:p w14:paraId="6102E969"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má právo určit konkrétní množství a dobu plnění podle svých aktuálních potřeb bez penalizace či jiného postihu ze strany Prodávajících.</w:t>
      </w: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Smluvní strany sjednávají za plnění jednotlivých dodávek realizovaných v rámci této kupní smlouvy smluvní cenu, která nesmí být vyšší než cena uvedená Prodávajícím v příloze A. Dohodnutým způsobem určená cena je určitá a zahrnuje veškeré související náklady Prodávajících, včetně nákladů na třídění, balení, nakládání, dopravu, vykládání, přirážky distributorů, celní poplatky apod.</w:t>
      </w:r>
    </w:p>
    <w:p w14:paraId="179AA315"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1"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5AEE72F1"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dodací list(y).</w:t>
      </w:r>
    </w:p>
    <w:p w14:paraId="08BC6404" w14:textId="77777777" w:rsidR="00B57DD9" w:rsidRPr="001F7F4A" w:rsidRDefault="00B57DD9" w:rsidP="00B57DD9">
      <w:pPr>
        <w:pStyle w:val="Zkladntext"/>
        <w:tabs>
          <w:tab w:val="left" w:pos="-3261"/>
          <w:tab w:val="left" w:pos="-2835"/>
          <w:tab w:val="left" w:pos="-1276"/>
        </w:tabs>
        <w:ind w:left="720"/>
        <w:rPr>
          <w:rFonts w:ascii="Calibri" w:hAnsi="Calibri" w:cs="Calibri"/>
          <w:sz w:val="22"/>
          <w:szCs w:val="22"/>
        </w:rPr>
      </w:pPr>
    </w:p>
    <w:p w14:paraId="3E55A679"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77777777" w:rsidR="00B57DD9" w:rsidRPr="001F7F4A" w:rsidRDefault="00B57DD9" w:rsidP="00B57DD9">
      <w:pPr>
        <w:pStyle w:val="Zkladntext"/>
        <w:widowControl w:val="0"/>
        <w:numPr>
          <w:ilvl w:val="0"/>
          <w:numId w:val="14"/>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lastRenderedPageBreak/>
        <w:t>Čl. IV</w:t>
      </w:r>
    </w:p>
    <w:p w14:paraId="31C8A69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Záruky, práva z vad</w:t>
      </w:r>
    </w:p>
    <w:p w14:paraId="79AC7A0C"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68D31438" w14:textId="181C356D" w:rsidR="00B57DD9" w:rsidRPr="00727F09" w:rsidRDefault="003C73E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B57DD9">
      <w:pPr>
        <w:pStyle w:val="Odstavecseseznamem"/>
        <w:numPr>
          <w:ilvl w:val="0"/>
          <w:numId w:val="20"/>
        </w:numPr>
        <w:autoSpaceDE w:val="0"/>
        <w:autoSpaceDN w:val="0"/>
        <w:adjustRightInd w:val="0"/>
        <w:spacing w:after="240"/>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B57DD9">
      <w:pPr>
        <w:pStyle w:val="Zkladntext"/>
        <w:widowControl w:val="0"/>
        <w:numPr>
          <w:ilvl w:val="0"/>
          <w:numId w:val="20"/>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w:t>
      </w:r>
    </w:p>
    <w:p w14:paraId="35A649D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Doba trvání, Ukončení smlouvy</w:t>
      </w:r>
    </w:p>
    <w:p w14:paraId="476A78B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AA6019C" w14:textId="5B3FB921"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podpisu smlouvy.</w:t>
      </w:r>
    </w:p>
    <w:p w14:paraId="2D98A48D"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B57DD9">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B57DD9">
      <w:pPr>
        <w:pStyle w:val="Zkladntext"/>
        <w:widowControl w:val="0"/>
        <w:numPr>
          <w:ilvl w:val="0"/>
          <w:numId w:val="15"/>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6F5D90C5"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7387C6A1"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249"/>
        <w:gridCol w:w="2635"/>
        <w:gridCol w:w="1304"/>
        <w:gridCol w:w="2448"/>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Kupující - Pověřená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168FC746" w14:textId="77777777"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24DC752A"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Ostatní ujednání</w:t>
      </w:r>
    </w:p>
    <w:p w14:paraId="38879098"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p>
    <w:p w14:paraId="5833BAEF" w14:textId="16C4AEB7" w:rsidR="00804865" w:rsidRDefault="00804865" w:rsidP="00804865">
      <w:pPr>
        <w:widowControl w:val="0"/>
        <w:numPr>
          <w:ilvl w:val="0"/>
          <w:numId w:val="18"/>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126F6BB0" w14:textId="77777777" w:rsidR="00804865" w:rsidRPr="007D4423" w:rsidRDefault="00804865" w:rsidP="00804865">
      <w:pPr>
        <w:widowControl w:val="0"/>
        <w:tabs>
          <w:tab w:val="left" w:pos="426"/>
        </w:tabs>
        <w:suppressAutoHyphens/>
        <w:spacing w:after="60"/>
        <w:ind w:left="360"/>
        <w:jc w:val="both"/>
        <w:rPr>
          <w:rFonts w:ascii="Calibri" w:eastAsia="SimSun" w:hAnsi="Calibri" w:cs="Calibri"/>
          <w:kern w:val="2"/>
          <w:sz w:val="22"/>
          <w:szCs w:val="22"/>
          <w:lang w:eastAsia="hi-IN" w:bidi="hi-IN"/>
        </w:rPr>
      </w:pPr>
    </w:p>
    <w:p w14:paraId="26ACB4E2" w14:textId="5783042C"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souhlasí se zveřejněním všech náležitostí smluvního vztahu včetně kupní smlouvy a výsledků zadávacího řízení na profilu kupujícího. V případě uzavření smlouvy na plnění této veřejné zakázky Prodávající souhlasí s uveřejněním smlouvy a dílčích objednávek v souladu se zákonem č. 340/2015 Sb., o registru smluv.</w:t>
      </w:r>
    </w:p>
    <w:p w14:paraId="22C0245C"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77777777" w:rsidR="00B57DD9" w:rsidRPr="001F7F4A" w:rsidRDefault="00B57DD9" w:rsidP="00B57DD9">
      <w:pPr>
        <w:pStyle w:val="Zkladntext"/>
        <w:widowControl w:val="0"/>
        <w:numPr>
          <w:ilvl w:val="0"/>
          <w:numId w:val="18"/>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lastRenderedPageBreak/>
        <w:t>Smluvní strany sjednávají, že pohledávku dle této smlouvy nebo smlouvu samotnou nelze postoupit třetí osobě bez předchozího písemného souhlasu druhé smluvní strany.</w:t>
      </w: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66620A70"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Smluvní pokuty</w:t>
      </w:r>
    </w:p>
    <w:p w14:paraId="5A375D54"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190435E9" w14:textId="5FFF20F4" w:rsidR="00B57DD9" w:rsidRDefault="00B57DD9"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4E02B00A" w:rsidR="00804865" w:rsidRPr="001F7F4A" w:rsidRDefault="00804865" w:rsidP="00B57DD9">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r>
        <w:rPr>
          <w:rFonts w:ascii="Calibri" w:hAnsi="Calibri" w:cs="Calibri"/>
          <w:sz w:val="22"/>
          <w:szCs w:val="22"/>
        </w:rPr>
        <w:t>1.000,- Kč</w:t>
      </w:r>
      <w:r w:rsidRPr="001F7F4A">
        <w:rPr>
          <w:rFonts w:ascii="Calibri" w:hAnsi="Calibri" w:cs="Calibri"/>
          <w:sz w:val="22"/>
          <w:szCs w:val="22"/>
        </w:rPr>
        <w:t xml:space="preserve"> za každý i započatý den prodlení.</w:t>
      </w:r>
    </w:p>
    <w:p w14:paraId="5194EFAE" w14:textId="2ECAFCE3"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bookmarkStart w:id="3" w:name="_Hlk536537602"/>
      <w:r w:rsidRPr="001F7F4A">
        <w:rPr>
          <w:rFonts w:ascii="Calibri" w:hAnsi="Calibri" w:cs="Calibri"/>
          <w:sz w:val="22"/>
          <w:szCs w:val="22"/>
        </w:rPr>
        <w:t>Prodávající se zavazuje v případě, že neodstraní oprávněně reklamované vady ve lhůtách stanovených touto smlouvou, uhradit kupujícímu smluvní pokutu ve výši 1.000</w:t>
      </w:r>
      <w:r w:rsidR="00804865">
        <w:rPr>
          <w:rFonts w:ascii="Calibri" w:hAnsi="Calibri" w:cs="Calibri"/>
          <w:sz w:val="22"/>
          <w:szCs w:val="22"/>
        </w:rPr>
        <w:t>,-</w:t>
      </w:r>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155666">
      <w:pPr>
        <w:pStyle w:val="Odstavecseseznamem"/>
        <w:numPr>
          <w:ilvl w:val="0"/>
          <w:numId w:val="19"/>
        </w:numPr>
        <w:tabs>
          <w:tab w:val="left" w:pos="-3261"/>
          <w:tab w:val="left" w:pos="-2835"/>
          <w:tab w:val="left" w:pos="-1276"/>
        </w:tabs>
        <w:autoSpaceDE w:val="0"/>
        <w:autoSpaceDN w:val="0"/>
        <w:adjustRightInd w:val="0"/>
        <w:spacing w:after="240"/>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77777777" w:rsidR="00B57DD9" w:rsidRPr="001F7F4A" w:rsidRDefault="00B57DD9" w:rsidP="00B57DD9">
      <w:pPr>
        <w:pStyle w:val="Zkladntext"/>
        <w:widowControl w:val="0"/>
        <w:numPr>
          <w:ilvl w:val="0"/>
          <w:numId w:val="19"/>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4F0953F4" w14:textId="77777777" w:rsidR="00B57DD9" w:rsidRPr="001F7F4A" w:rsidRDefault="00B57DD9" w:rsidP="00B57DD9">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Závěrečná ustanovení</w:t>
      </w:r>
    </w:p>
    <w:p w14:paraId="33E6A051" w14:textId="77777777" w:rsidR="00B57DD9" w:rsidRPr="001F7F4A" w:rsidRDefault="00B57DD9" w:rsidP="00B57DD9">
      <w:pPr>
        <w:pStyle w:val="Zkladntext"/>
        <w:tabs>
          <w:tab w:val="left" w:pos="-3261"/>
          <w:tab w:val="left" w:pos="-2835"/>
          <w:tab w:val="left" w:pos="-1276"/>
        </w:tabs>
        <w:ind w:left="284"/>
        <w:rPr>
          <w:rFonts w:ascii="Calibri" w:hAnsi="Calibri" w:cs="Calibri"/>
          <w:sz w:val="22"/>
          <w:szCs w:val="22"/>
        </w:rPr>
      </w:pPr>
    </w:p>
    <w:p w14:paraId="31A113C0"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se zavazují řešit sporné otázky smírnou cestou. V případě soudního sporu ujednávají v souladu s § 89a zákona č. 99/1963 Sb., občanského soudního řádu, v platném znění, místní </w:t>
      </w:r>
      <w:r w:rsidRPr="001F7F4A">
        <w:rPr>
          <w:rFonts w:ascii="Calibri" w:hAnsi="Calibri" w:cs="Calibri"/>
          <w:sz w:val="22"/>
          <w:szCs w:val="22"/>
        </w:rPr>
        <w:lastRenderedPageBreak/>
        <w:t>příslušnost obecného soudu kupujícího.</w:t>
      </w:r>
    </w:p>
    <w:p w14:paraId="5858B75A"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Tato smlouva je vyhotovena ve 2 stejnopisech s platností originálu, z nichž každá ze smluvních stran obdrží smlouvu v 1 vyhotovení.</w:t>
      </w:r>
    </w:p>
    <w:p w14:paraId="6E78C2E2" w14:textId="77777777" w:rsidR="00B57DD9" w:rsidRPr="001F7F4A"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29D94E7D"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p>
    <w:p w14:paraId="10A4EAF4" w14:textId="03242C75"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00E12FCD">
        <w:rPr>
          <w:rFonts w:ascii="Calibri" w:hAnsi="Calibri" w:cs="Calibri"/>
          <w:sz w:val="22"/>
          <w:szCs w:val="22"/>
        </w:rPr>
        <w:t xml:space="preserve"> </w:t>
      </w:r>
      <w:r w:rsidRPr="001F7F4A">
        <w:rPr>
          <w:rFonts w:ascii="Calibri" w:hAnsi="Calibri" w:cs="Calibri"/>
          <w:sz w:val="22"/>
          <w:szCs w:val="22"/>
        </w:rPr>
        <w:t>Položkový ceník zboží (účastníci vyplní a přiloží do nabídky)</w:t>
      </w:r>
    </w:p>
    <w:p w14:paraId="4FD745B4" w14:textId="77777777" w:rsidR="00AF66FC" w:rsidRPr="001F7F4A" w:rsidRDefault="00AF66FC" w:rsidP="00AF66FC">
      <w:pPr>
        <w:ind w:right="-766"/>
        <w:jc w:val="both"/>
        <w:rPr>
          <w:rFonts w:ascii="Calibri" w:hAnsi="Calibri" w:cs="Calibri"/>
          <w:sz w:val="22"/>
          <w:szCs w:val="22"/>
        </w:rPr>
      </w:pPr>
    </w:p>
    <w:p w14:paraId="1099F444" w14:textId="77777777" w:rsidR="00AF66FC" w:rsidRPr="001F7F4A" w:rsidRDefault="00AF66FC" w:rsidP="00AF66FC">
      <w:pPr>
        <w:jc w:val="both"/>
        <w:rPr>
          <w:rFonts w:ascii="Calibri" w:hAnsi="Calibri" w:cs="Calibri"/>
          <w:sz w:val="22"/>
          <w:szCs w:val="22"/>
        </w:rPr>
      </w:pPr>
    </w:p>
    <w:p w14:paraId="7D3CA16D" w14:textId="62FDB884"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V Pardubicích dne …………………</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0F2E1E">
        <w:rPr>
          <w:rFonts w:ascii="Calibri" w:hAnsi="Calibri" w:cs="Calibri"/>
          <w:sz w:val="22"/>
          <w:szCs w:val="22"/>
        </w:rPr>
        <w:tab/>
      </w:r>
      <w:r w:rsidRPr="001F7F4A">
        <w:rPr>
          <w:rFonts w:ascii="Calibri" w:hAnsi="Calibri" w:cs="Calibri"/>
          <w:sz w:val="22"/>
          <w:szCs w:val="22"/>
        </w:rPr>
        <w:t>V ………..……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77777777" w:rsidR="00AF66FC" w:rsidRPr="001F7F4A" w:rsidRDefault="00AF66FC" w:rsidP="00AF66FC">
      <w:pPr>
        <w:rPr>
          <w:rFonts w:ascii="Calibri" w:hAnsi="Calibri" w:cs="Calibri"/>
          <w:sz w:val="22"/>
          <w:szCs w:val="22"/>
          <w:shd w:val="clear" w:color="auto" w:fill="FFFFFF" w:themeFill="background1"/>
        </w:rPr>
      </w:pPr>
    </w:p>
    <w:p w14:paraId="5AF6712C" w14:textId="1DCA3E33" w:rsidR="00AF66FC" w:rsidRDefault="00AF66FC" w:rsidP="00AF66FC">
      <w:pPr>
        <w:rPr>
          <w:rFonts w:ascii="Calibri" w:hAnsi="Calibri" w:cs="Calibri"/>
          <w:bCs/>
          <w:sz w:val="22"/>
          <w:szCs w:val="22"/>
        </w:rPr>
      </w:pPr>
    </w:p>
    <w:p w14:paraId="72C0FF1F" w14:textId="71083BE0" w:rsidR="00E12FCD" w:rsidRDefault="00E12FCD" w:rsidP="00AF66FC">
      <w:pPr>
        <w:rPr>
          <w:rFonts w:ascii="Calibri" w:hAnsi="Calibri" w:cs="Calibri"/>
          <w:bCs/>
          <w:sz w:val="22"/>
          <w:szCs w:val="22"/>
        </w:rPr>
      </w:pPr>
    </w:p>
    <w:p w14:paraId="63EDE4B4" w14:textId="327528D5" w:rsidR="00E12FCD" w:rsidRPr="001F7F4A" w:rsidRDefault="00E12FCD" w:rsidP="00AF66FC">
      <w:pPr>
        <w:rPr>
          <w:rFonts w:ascii="Calibri" w:hAnsi="Calibri" w:cs="Calibri"/>
          <w:bCs/>
          <w:sz w:val="22"/>
          <w:szCs w:val="22"/>
        </w:rPr>
      </w:pPr>
      <w:r>
        <w:rPr>
          <w:rFonts w:ascii="Calibri" w:hAnsi="Calibri" w:cs="Calibri"/>
          <w:bCs/>
          <w:sz w:val="22"/>
          <w:szCs w:val="22"/>
        </w:rPr>
        <w:t>……………………………………………………..</w:t>
      </w:r>
    </w:p>
    <w:p w14:paraId="3B607B61"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Pr="001F7F4A">
        <w:rPr>
          <w:rFonts w:ascii="Calibri" w:hAnsi="Calibri" w:cs="Calibri"/>
          <w:bCs/>
          <w:sz w:val="22"/>
          <w:szCs w:val="22"/>
        </w:rPr>
        <w:tab/>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77777777" w:rsidR="00AF66FC" w:rsidRPr="001F7F4A" w:rsidRDefault="00AF66FC" w:rsidP="00AF66FC">
      <w:pPr>
        <w:rPr>
          <w:rFonts w:ascii="Calibri" w:hAnsi="Calibri" w:cs="Calibri"/>
          <w:bCs/>
          <w:sz w:val="22"/>
          <w:szCs w:val="22"/>
        </w:rPr>
      </w:pPr>
    </w:p>
    <w:p w14:paraId="6524B689" w14:textId="65DA0FD2" w:rsidR="00AF66FC" w:rsidRDefault="00AF66FC" w:rsidP="00AF66FC">
      <w:pPr>
        <w:rPr>
          <w:rFonts w:ascii="Calibri" w:hAnsi="Calibri" w:cs="Calibri"/>
          <w:bCs/>
          <w:sz w:val="22"/>
          <w:szCs w:val="22"/>
        </w:rPr>
      </w:pPr>
    </w:p>
    <w:p w14:paraId="799DC640" w14:textId="77777777" w:rsidR="00E12FCD" w:rsidRPr="001F7F4A" w:rsidRDefault="00E12FCD" w:rsidP="00AF66FC">
      <w:pPr>
        <w:rPr>
          <w:rFonts w:ascii="Calibri" w:hAnsi="Calibri" w:cs="Calibri"/>
          <w:bCs/>
          <w:sz w:val="22"/>
          <w:szCs w:val="22"/>
        </w:rPr>
      </w:pPr>
    </w:p>
    <w:p w14:paraId="4C7BA3F3" w14:textId="18EA0BF9" w:rsidR="00AF66FC" w:rsidRPr="001F7F4A" w:rsidRDefault="00E12FCD" w:rsidP="00AF66FC">
      <w:pPr>
        <w:rPr>
          <w:rFonts w:ascii="Calibri" w:hAnsi="Calibri" w:cs="Calibri"/>
          <w:bCs/>
          <w:sz w:val="22"/>
          <w:szCs w:val="22"/>
        </w:rPr>
      </w:pPr>
      <w:r>
        <w:rPr>
          <w:rFonts w:ascii="Calibri" w:hAnsi="Calibri" w:cs="Calibri"/>
          <w:bCs/>
          <w:sz w:val="22"/>
          <w:szCs w:val="22"/>
        </w:rPr>
        <w:t>……………………………………………………..</w:t>
      </w:r>
    </w:p>
    <w:p w14:paraId="3E4D769F"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3D269F" w:rsidRPr="001F7F4A">
        <w:rPr>
          <w:rFonts w:ascii="Calibri" w:hAnsi="Calibri" w:cs="Calibri"/>
          <w:bCs/>
          <w:sz w:val="22"/>
          <w:szCs w:val="22"/>
        </w:rPr>
        <w:t>František Lešundák</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7836C81B" w14:textId="60203C74" w:rsidR="007E62E9" w:rsidRDefault="007E62E9" w:rsidP="00AF66FC">
      <w:pPr>
        <w:rPr>
          <w:rFonts w:ascii="Calibri" w:hAnsi="Calibri" w:cs="Calibri"/>
          <w:b/>
          <w:sz w:val="22"/>
          <w:szCs w:val="22"/>
        </w:rPr>
      </w:pPr>
      <w:r>
        <w:rPr>
          <w:rFonts w:ascii="Calibri" w:hAnsi="Calibri" w:cs="Calibri"/>
          <w:b/>
          <w:sz w:val="22"/>
          <w:szCs w:val="22"/>
        </w:rPr>
        <w:lastRenderedPageBreak/>
        <w:t>Příloha A – položkový rozpočet</w:t>
      </w:r>
      <w:r w:rsidR="009811A9">
        <w:rPr>
          <w:rFonts w:ascii="Calibri" w:hAnsi="Calibri" w:cs="Calibri"/>
          <w:b/>
          <w:sz w:val="22"/>
          <w:szCs w:val="22"/>
        </w:rPr>
        <w:t xml:space="preserve"> </w:t>
      </w:r>
    </w:p>
    <w:p w14:paraId="47AD2C00" w14:textId="597DC774" w:rsidR="007E62E9" w:rsidRDefault="007E62E9" w:rsidP="00AF66FC">
      <w:pPr>
        <w:rPr>
          <w:rFonts w:ascii="Calibri" w:hAnsi="Calibri" w:cs="Calibri"/>
          <w:b/>
          <w:sz w:val="22"/>
          <w:szCs w:val="22"/>
        </w:rPr>
      </w:pPr>
    </w:p>
    <w:tbl>
      <w:tblPr>
        <w:tblW w:w="5000" w:type="pct"/>
        <w:tblLayout w:type="fixed"/>
        <w:tblCellMar>
          <w:left w:w="70" w:type="dxa"/>
          <w:right w:w="70" w:type="dxa"/>
        </w:tblCellMar>
        <w:tblLook w:val="00A0" w:firstRow="1" w:lastRow="0" w:firstColumn="1" w:lastColumn="0" w:noHBand="0" w:noVBand="0"/>
      </w:tblPr>
      <w:tblGrid>
        <w:gridCol w:w="2111"/>
        <w:gridCol w:w="1850"/>
        <w:gridCol w:w="857"/>
        <w:gridCol w:w="2029"/>
        <w:gridCol w:w="2195"/>
      </w:tblGrid>
      <w:tr w:rsidR="00013188" w:rsidRPr="005E2562" w14:paraId="7D8E2C45" w14:textId="77777777" w:rsidTr="004B791E">
        <w:trPr>
          <w:trHeight w:val="805"/>
        </w:trPr>
        <w:tc>
          <w:tcPr>
            <w:tcW w:w="1167" w:type="pct"/>
            <w:tcBorders>
              <w:top w:val="single" w:sz="12" w:space="0" w:color="auto"/>
              <w:left w:val="single" w:sz="12" w:space="0" w:color="auto"/>
              <w:bottom w:val="single" w:sz="12" w:space="0" w:color="auto"/>
              <w:right w:val="single" w:sz="12" w:space="0" w:color="auto"/>
            </w:tcBorders>
            <w:shd w:val="clear" w:color="000000" w:fill="F2F2F2"/>
            <w:vAlign w:val="center"/>
          </w:tcPr>
          <w:p w14:paraId="623E8F50" w14:textId="058AB2DD" w:rsidR="00013188" w:rsidRPr="005E2562"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Popis, název</w:t>
            </w:r>
            <w:r>
              <w:rPr>
                <w:rFonts w:asciiTheme="minorHAnsi" w:hAnsiTheme="minorHAnsi" w:cstheme="minorHAnsi"/>
                <w:b/>
                <w:bCs/>
                <w:sz w:val="18"/>
              </w:rPr>
              <w:t xml:space="preserve"> testu</w:t>
            </w:r>
          </w:p>
        </w:tc>
        <w:tc>
          <w:tcPr>
            <w:tcW w:w="1023" w:type="pct"/>
            <w:tcBorders>
              <w:top w:val="single" w:sz="12" w:space="0" w:color="auto"/>
              <w:left w:val="single" w:sz="12" w:space="0" w:color="auto"/>
              <w:bottom w:val="single" w:sz="12" w:space="0" w:color="auto"/>
              <w:right w:val="single" w:sz="12" w:space="0" w:color="auto"/>
            </w:tcBorders>
            <w:shd w:val="clear" w:color="000000" w:fill="F2F2F2"/>
            <w:vAlign w:val="center"/>
          </w:tcPr>
          <w:p w14:paraId="50863D11" w14:textId="36D62935" w:rsidR="00013188" w:rsidRPr="005E2562"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Nabídková cena</w:t>
            </w:r>
            <w:r>
              <w:rPr>
                <w:rFonts w:asciiTheme="minorHAnsi" w:hAnsiTheme="minorHAnsi" w:cstheme="minorHAnsi"/>
                <w:b/>
                <w:bCs/>
                <w:sz w:val="18"/>
              </w:rPr>
              <w:t xml:space="preserve"> spotřebního materiálu</w:t>
            </w:r>
            <w:r w:rsidRPr="005E2562">
              <w:rPr>
                <w:rFonts w:asciiTheme="minorHAnsi" w:hAnsiTheme="minorHAnsi" w:cstheme="minorHAnsi"/>
                <w:b/>
                <w:bCs/>
                <w:sz w:val="18"/>
              </w:rPr>
              <w:t xml:space="preserve"> </w:t>
            </w:r>
            <w:r>
              <w:rPr>
                <w:rFonts w:asciiTheme="minorHAnsi" w:hAnsiTheme="minorHAnsi" w:cstheme="minorHAnsi"/>
                <w:b/>
                <w:bCs/>
                <w:sz w:val="18"/>
              </w:rPr>
              <w:t>na</w:t>
            </w:r>
            <w:r w:rsidRPr="005E2562">
              <w:rPr>
                <w:rFonts w:asciiTheme="minorHAnsi" w:hAnsiTheme="minorHAnsi" w:cstheme="minorHAnsi"/>
                <w:b/>
                <w:bCs/>
                <w:sz w:val="18"/>
              </w:rPr>
              <w:t xml:space="preserve"> 1 </w:t>
            </w:r>
            <w:r>
              <w:rPr>
                <w:rFonts w:asciiTheme="minorHAnsi" w:hAnsiTheme="minorHAnsi" w:cstheme="minorHAnsi"/>
                <w:b/>
                <w:bCs/>
                <w:sz w:val="18"/>
              </w:rPr>
              <w:t>test</w:t>
            </w:r>
            <w:r w:rsidRPr="005E2562">
              <w:rPr>
                <w:rFonts w:asciiTheme="minorHAnsi" w:hAnsiTheme="minorHAnsi" w:cstheme="minorHAnsi"/>
                <w:b/>
                <w:bCs/>
                <w:sz w:val="18"/>
              </w:rPr>
              <w:t xml:space="preserve"> [Kč]</w:t>
            </w:r>
          </w:p>
          <w:p w14:paraId="48E1A4AB" w14:textId="77777777" w:rsidR="00013188" w:rsidRPr="005E2562"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(bez DPH)</w:t>
            </w:r>
          </w:p>
        </w:tc>
        <w:tc>
          <w:tcPr>
            <w:tcW w:w="474" w:type="pct"/>
            <w:tcBorders>
              <w:top w:val="single" w:sz="12" w:space="0" w:color="auto"/>
              <w:left w:val="single" w:sz="12" w:space="0" w:color="auto"/>
              <w:bottom w:val="single" w:sz="12" w:space="0" w:color="auto"/>
              <w:right w:val="single" w:sz="12" w:space="0" w:color="auto"/>
            </w:tcBorders>
            <w:shd w:val="clear" w:color="000000" w:fill="F2F2F2"/>
            <w:vAlign w:val="center"/>
          </w:tcPr>
          <w:p w14:paraId="137718C1" w14:textId="77777777" w:rsidR="00013188" w:rsidRPr="005E2562"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Sazba DPH</w:t>
            </w:r>
          </w:p>
          <w:p w14:paraId="5AFD556A" w14:textId="77777777" w:rsidR="00013188" w:rsidRPr="005E2562" w:rsidRDefault="00013188" w:rsidP="00994463">
            <w:pPr>
              <w:jc w:val="center"/>
              <w:rPr>
                <w:rFonts w:asciiTheme="minorHAnsi" w:hAnsiTheme="minorHAnsi" w:cstheme="minorHAnsi"/>
                <w:b/>
                <w:bCs/>
                <w:sz w:val="18"/>
              </w:rPr>
            </w:pPr>
            <w:r w:rsidRPr="00E33E45">
              <w:rPr>
                <w:rFonts w:asciiTheme="minorHAnsi" w:hAnsiTheme="minorHAnsi" w:cstheme="minorHAnsi"/>
                <w:b/>
                <w:bCs/>
                <w:sz w:val="18"/>
              </w:rPr>
              <w:t>[%]</w:t>
            </w:r>
          </w:p>
        </w:tc>
        <w:tc>
          <w:tcPr>
            <w:tcW w:w="1122" w:type="pct"/>
            <w:tcBorders>
              <w:top w:val="single" w:sz="12" w:space="0" w:color="auto"/>
              <w:left w:val="single" w:sz="12" w:space="0" w:color="auto"/>
              <w:bottom w:val="single" w:sz="12" w:space="0" w:color="auto"/>
              <w:right w:val="single" w:sz="12" w:space="0" w:color="auto"/>
            </w:tcBorders>
            <w:shd w:val="clear" w:color="000000" w:fill="F2F2F2"/>
            <w:vAlign w:val="center"/>
          </w:tcPr>
          <w:p w14:paraId="43C2B147" w14:textId="479EAC3D" w:rsidR="00013188"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Nabídková cena</w:t>
            </w:r>
            <w:r>
              <w:rPr>
                <w:rFonts w:asciiTheme="minorHAnsi" w:hAnsiTheme="minorHAnsi" w:cstheme="minorHAnsi"/>
                <w:b/>
                <w:bCs/>
                <w:sz w:val="18"/>
              </w:rPr>
              <w:t xml:space="preserve"> spotřebního materiálu na</w:t>
            </w:r>
            <w:r w:rsidRPr="005E2562">
              <w:rPr>
                <w:rFonts w:asciiTheme="minorHAnsi" w:hAnsiTheme="minorHAnsi" w:cstheme="minorHAnsi"/>
                <w:b/>
                <w:bCs/>
                <w:sz w:val="18"/>
              </w:rPr>
              <w:t xml:space="preserve"> </w:t>
            </w:r>
            <w:r>
              <w:rPr>
                <w:rFonts w:asciiTheme="minorHAnsi" w:hAnsiTheme="minorHAnsi" w:cstheme="minorHAnsi"/>
                <w:b/>
                <w:bCs/>
                <w:sz w:val="18"/>
              </w:rPr>
              <w:t xml:space="preserve">1 test </w:t>
            </w:r>
            <w:r w:rsidRPr="005E2562">
              <w:rPr>
                <w:rFonts w:asciiTheme="minorHAnsi" w:hAnsiTheme="minorHAnsi" w:cstheme="minorHAnsi"/>
                <w:b/>
                <w:bCs/>
                <w:sz w:val="18"/>
              </w:rPr>
              <w:t>[Kč]</w:t>
            </w:r>
          </w:p>
          <w:p w14:paraId="1F17CE9B" w14:textId="77777777" w:rsidR="00013188" w:rsidRPr="005E2562" w:rsidRDefault="00013188" w:rsidP="00994463">
            <w:pPr>
              <w:jc w:val="center"/>
              <w:rPr>
                <w:rFonts w:asciiTheme="minorHAnsi" w:hAnsiTheme="minorHAnsi" w:cstheme="minorHAnsi"/>
                <w:b/>
                <w:bCs/>
                <w:sz w:val="18"/>
              </w:rPr>
            </w:pPr>
            <w:r w:rsidRPr="005E2562">
              <w:rPr>
                <w:rFonts w:asciiTheme="minorHAnsi" w:hAnsiTheme="minorHAnsi" w:cstheme="minorHAnsi"/>
                <w:b/>
                <w:bCs/>
                <w:sz w:val="18"/>
              </w:rPr>
              <w:t>(</w:t>
            </w:r>
            <w:r>
              <w:rPr>
                <w:rFonts w:asciiTheme="minorHAnsi" w:hAnsiTheme="minorHAnsi" w:cstheme="minorHAnsi"/>
                <w:b/>
                <w:bCs/>
                <w:sz w:val="18"/>
              </w:rPr>
              <w:t>včetně</w:t>
            </w:r>
            <w:r w:rsidRPr="005E2562">
              <w:rPr>
                <w:rFonts w:asciiTheme="minorHAnsi" w:hAnsiTheme="minorHAnsi" w:cstheme="minorHAnsi"/>
                <w:b/>
                <w:bCs/>
                <w:sz w:val="18"/>
              </w:rPr>
              <w:t xml:space="preserve"> DPH)</w:t>
            </w:r>
          </w:p>
        </w:tc>
        <w:tc>
          <w:tcPr>
            <w:tcW w:w="1215" w:type="pct"/>
            <w:tcBorders>
              <w:top w:val="single" w:sz="12" w:space="0" w:color="auto"/>
              <w:left w:val="single" w:sz="12" w:space="0" w:color="auto"/>
              <w:bottom w:val="single" w:sz="12" w:space="0" w:color="auto"/>
              <w:right w:val="single" w:sz="12" w:space="0" w:color="auto"/>
            </w:tcBorders>
            <w:shd w:val="clear" w:color="000000" w:fill="F2F2F2"/>
            <w:vAlign w:val="center"/>
          </w:tcPr>
          <w:p w14:paraId="6F5DD3AB" w14:textId="77777777" w:rsidR="00013188" w:rsidRPr="005E2562" w:rsidRDefault="00013188" w:rsidP="00994463">
            <w:pPr>
              <w:jc w:val="center"/>
              <w:rPr>
                <w:rFonts w:asciiTheme="minorHAnsi" w:hAnsiTheme="minorHAnsi" w:cstheme="minorHAnsi"/>
                <w:b/>
                <w:bCs/>
                <w:sz w:val="18"/>
              </w:rPr>
            </w:pPr>
            <w:r>
              <w:rPr>
                <w:rFonts w:asciiTheme="minorHAnsi" w:hAnsiTheme="minorHAnsi" w:cstheme="minorHAnsi"/>
                <w:b/>
                <w:bCs/>
                <w:sz w:val="18"/>
              </w:rPr>
              <w:t>Katalogové číslo</w:t>
            </w:r>
          </w:p>
        </w:tc>
      </w:tr>
      <w:tr w:rsidR="00013188" w:rsidRPr="005E2562" w14:paraId="7FC2B49B"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9DA4154" w14:textId="792B8A22" w:rsidR="00013188" w:rsidRPr="009811A9" w:rsidRDefault="00013188" w:rsidP="00013188">
            <w:pPr>
              <w:pStyle w:val="Bezmezer"/>
              <w:rPr>
                <w:rFonts w:asciiTheme="minorHAnsi" w:hAnsiTheme="minorHAnsi" w:cstheme="minorHAnsi"/>
                <w:bCs/>
                <w:i/>
                <w:iCs/>
                <w:sz w:val="18"/>
                <w:szCs w:val="20"/>
              </w:rPr>
            </w:pPr>
            <w:r>
              <w:rPr>
                <w:lang w:eastAsia="cs-CZ"/>
              </w:rPr>
              <w:t>Kreatinin</w:t>
            </w:r>
          </w:p>
        </w:tc>
        <w:tc>
          <w:tcPr>
            <w:tcW w:w="1023" w:type="pct"/>
            <w:tcBorders>
              <w:top w:val="single" w:sz="12" w:space="0" w:color="auto"/>
              <w:left w:val="single" w:sz="12" w:space="0" w:color="auto"/>
              <w:bottom w:val="single" w:sz="12" w:space="0" w:color="auto"/>
              <w:right w:val="single" w:sz="12" w:space="0" w:color="auto"/>
            </w:tcBorders>
            <w:vAlign w:val="center"/>
          </w:tcPr>
          <w:p w14:paraId="581E448C"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474" w:type="pct"/>
            <w:tcBorders>
              <w:top w:val="single" w:sz="12" w:space="0" w:color="auto"/>
              <w:left w:val="single" w:sz="12" w:space="0" w:color="auto"/>
              <w:bottom w:val="single" w:sz="12" w:space="0" w:color="auto"/>
              <w:right w:val="single" w:sz="12" w:space="0" w:color="auto"/>
            </w:tcBorders>
            <w:vAlign w:val="center"/>
          </w:tcPr>
          <w:p w14:paraId="1C389690"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1122" w:type="pct"/>
            <w:tcBorders>
              <w:top w:val="single" w:sz="12" w:space="0" w:color="auto"/>
              <w:left w:val="single" w:sz="12" w:space="0" w:color="auto"/>
              <w:bottom w:val="single" w:sz="12" w:space="0" w:color="auto"/>
              <w:right w:val="single" w:sz="12" w:space="0" w:color="auto"/>
            </w:tcBorders>
            <w:vAlign w:val="center"/>
          </w:tcPr>
          <w:p w14:paraId="41F4D4C6"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1215" w:type="pct"/>
            <w:tcBorders>
              <w:top w:val="single" w:sz="12" w:space="0" w:color="auto"/>
              <w:left w:val="single" w:sz="12" w:space="0" w:color="auto"/>
              <w:bottom w:val="single" w:sz="12" w:space="0" w:color="auto"/>
              <w:right w:val="single" w:sz="12" w:space="0" w:color="auto"/>
            </w:tcBorders>
            <w:vAlign w:val="center"/>
          </w:tcPr>
          <w:p w14:paraId="68938E30" w14:textId="77777777" w:rsidR="00013188" w:rsidRPr="005E2562" w:rsidRDefault="00013188" w:rsidP="00013188">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r w:rsidR="00013188" w:rsidRPr="005E2562" w14:paraId="06D3953B"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30A6506A" w14:textId="5C6FC0AD" w:rsidR="00013188" w:rsidRPr="009811A9" w:rsidRDefault="00013188" w:rsidP="00013188">
            <w:pPr>
              <w:pStyle w:val="Bezmezer"/>
              <w:rPr>
                <w:rFonts w:asciiTheme="minorHAnsi" w:hAnsiTheme="minorHAnsi" w:cstheme="minorHAnsi"/>
                <w:bCs/>
                <w:i/>
                <w:iCs/>
                <w:sz w:val="18"/>
                <w:szCs w:val="20"/>
              </w:rPr>
            </w:pPr>
            <w:r w:rsidRPr="00037A60">
              <w:rPr>
                <w:lang w:eastAsia="cs-CZ"/>
              </w:rPr>
              <w:t>Na/K/Cl</w:t>
            </w:r>
          </w:p>
        </w:tc>
        <w:tc>
          <w:tcPr>
            <w:tcW w:w="1023" w:type="pct"/>
            <w:tcBorders>
              <w:top w:val="single" w:sz="12" w:space="0" w:color="auto"/>
              <w:left w:val="single" w:sz="12" w:space="0" w:color="auto"/>
              <w:bottom w:val="single" w:sz="12" w:space="0" w:color="auto"/>
              <w:right w:val="single" w:sz="12" w:space="0" w:color="auto"/>
            </w:tcBorders>
            <w:vAlign w:val="center"/>
          </w:tcPr>
          <w:p w14:paraId="5F9977BC"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474" w:type="pct"/>
            <w:tcBorders>
              <w:top w:val="single" w:sz="12" w:space="0" w:color="auto"/>
              <w:left w:val="single" w:sz="12" w:space="0" w:color="auto"/>
              <w:bottom w:val="single" w:sz="12" w:space="0" w:color="auto"/>
              <w:right w:val="single" w:sz="12" w:space="0" w:color="auto"/>
            </w:tcBorders>
            <w:vAlign w:val="center"/>
          </w:tcPr>
          <w:p w14:paraId="1D933FA4"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1122" w:type="pct"/>
            <w:tcBorders>
              <w:top w:val="single" w:sz="12" w:space="0" w:color="auto"/>
              <w:left w:val="single" w:sz="12" w:space="0" w:color="auto"/>
              <w:bottom w:val="single" w:sz="12" w:space="0" w:color="auto"/>
              <w:right w:val="single" w:sz="12" w:space="0" w:color="auto"/>
            </w:tcBorders>
            <w:vAlign w:val="center"/>
          </w:tcPr>
          <w:p w14:paraId="34FD2FF9" w14:textId="77777777" w:rsidR="00013188" w:rsidRPr="005E2562" w:rsidRDefault="00013188" w:rsidP="00013188">
            <w:pP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c>
          <w:tcPr>
            <w:tcW w:w="1215" w:type="pct"/>
            <w:tcBorders>
              <w:top w:val="single" w:sz="12" w:space="0" w:color="auto"/>
              <w:left w:val="single" w:sz="12" w:space="0" w:color="auto"/>
              <w:bottom w:val="single" w:sz="12" w:space="0" w:color="auto"/>
              <w:right w:val="single" w:sz="12" w:space="0" w:color="auto"/>
            </w:tcBorders>
            <w:vAlign w:val="center"/>
          </w:tcPr>
          <w:p w14:paraId="7026428A" w14:textId="77777777" w:rsidR="00013188" w:rsidRPr="005E2562" w:rsidRDefault="00013188" w:rsidP="00013188">
            <w:pPr>
              <w:pStyle w:val="Bezmezer"/>
              <w:jc w:val="center"/>
              <w:rPr>
                <w:rFonts w:asciiTheme="minorHAnsi" w:hAnsiTheme="minorHAnsi" w:cstheme="minorHAnsi"/>
                <w:sz w:val="18"/>
                <w:szCs w:val="18"/>
                <w:highlight w:val="yellow"/>
              </w:rPr>
            </w:pPr>
            <w:r w:rsidRPr="005E2562">
              <w:rPr>
                <w:rFonts w:asciiTheme="minorHAnsi" w:hAnsiTheme="minorHAnsi" w:cstheme="minorHAnsi"/>
                <w:sz w:val="18"/>
                <w:szCs w:val="18"/>
                <w:highlight w:val="yellow"/>
              </w:rPr>
              <w:t>„DOPLNÍ ÚČASTNÍK“</w:t>
            </w:r>
          </w:p>
        </w:tc>
      </w:tr>
      <w:tr w:rsidR="00013188" w:rsidRPr="005E2562" w14:paraId="4F87E2F5"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0ACE4B5B" w14:textId="75643441" w:rsidR="00013188" w:rsidRPr="00114062" w:rsidRDefault="00013188" w:rsidP="00013188">
            <w:pPr>
              <w:pStyle w:val="Bezmezer"/>
              <w:rPr>
                <w:rFonts w:asciiTheme="minorHAnsi" w:hAnsiTheme="minorHAnsi" w:cstheme="minorHAnsi"/>
                <w:sz w:val="18"/>
                <w:szCs w:val="18"/>
                <w:highlight w:val="yellow"/>
              </w:rPr>
            </w:pPr>
            <w:r>
              <w:rPr>
                <w:lang w:eastAsia="cs-CZ"/>
              </w:rPr>
              <w:t>CRP</w:t>
            </w:r>
          </w:p>
        </w:tc>
        <w:tc>
          <w:tcPr>
            <w:tcW w:w="1023" w:type="pct"/>
            <w:tcBorders>
              <w:top w:val="single" w:sz="12" w:space="0" w:color="auto"/>
              <w:left w:val="single" w:sz="12" w:space="0" w:color="auto"/>
              <w:bottom w:val="single" w:sz="12" w:space="0" w:color="auto"/>
              <w:right w:val="single" w:sz="12" w:space="0" w:color="auto"/>
            </w:tcBorders>
            <w:vAlign w:val="center"/>
          </w:tcPr>
          <w:p w14:paraId="1E2713E8"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5C335DDB"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39A48BB3"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8903681"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B6F2256"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2B1AA0A7" w14:textId="43F267A8" w:rsidR="00013188" w:rsidRPr="00114062" w:rsidRDefault="00013188" w:rsidP="00013188">
            <w:pPr>
              <w:pStyle w:val="Bezmezer"/>
              <w:rPr>
                <w:rFonts w:asciiTheme="minorHAnsi" w:hAnsiTheme="minorHAnsi" w:cstheme="minorHAnsi"/>
                <w:sz w:val="18"/>
                <w:szCs w:val="18"/>
                <w:highlight w:val="yellow"/>
              </w:rPr>
            </w:pPr>
            <w:r>
              <w:rPr>
                <w:lang w:eastAsia="cs-CZ"/>
              </w:rPr>
              <w:t>ALT</w:t>
            </w:r>
          </w:p>
        </w:tc>
        <w:tc>
          <w:tcPr>
            <w:tcW w:w="1023" w:type="pct"/>
            <w:tcBorders>
              <w:top w:val="single" w:sz="12" w:space="0" w:color="auto"/>
              <w:left w:val="single" w:sz="12" w:space="0" w:color="auto"/>
              <w:bottom w:val="single" w:sz="12" w:space="0" w:color="auto"/>
              <w:right w:val="single" w:sz="12" w:space="0" w:color="auto"/>
            </w:tcBorders>
            <w:vAlign w:val="center"/>
          </w:tcPr>
          <w:p w14:paraId="77A5E756"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32A8B63E"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0D6446DD"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5AFF33B2"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52E4DCAE"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7BBCE09B" w14:textId="45152BA0" w:rsidR="00013188" w:rsidRPr="00114062" w:rsidRDefault="00013188" w:rsidP="00013188">
            <w:pPr>
              <w:pStyle w:val="Bezmezer"/>
              <w:rPr>
                <w:rFonts w:asciiTheme="minorHAnsi" w:hAnsiTheme="minorHAnsi" w:cstheme="minorHAnsi"/>
                <w:sz w:val="18"/>
                <w:szCs w:val="18"/>
                <w:highlight w:val="yellow"/>
              </w:rPr>
            </w:pPr>
            <w:r>
              <w:rPr>
                <w:lang w:eastAsia="cs-CZ"/>
              </w:rPr>
              <w:t>AST</w:t>
            </w:r>
          </w:p>
        </w:tc>
        <w:tc>
          <w:tcPr>
            <w:tcW w:w="1023" w:type="pct"/>
            <w:tcBorders>
              <w:top w:val="single" w:sz="12" w:space="0" w:color="auto"/>
              <w:left w:val="single" w:sz="12" w:space="0" w:color="auto"/>
              <w:bottom w:val="single" w:sz="12" w:space="0" w:color="auto"/>
              <w:right w:val="single" w:sz="12" w:space="0" w:color="auto"/>
            </w:tcBorders>
            <w:vAlign w:val="center"/>
          </w:tcPr>
          <w:p w14:paraId="125D50A6"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20EBA31C"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0ADD227F"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608113E3"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4DF898B4"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30F2EAA9" w14:textId="5FF4F9EA" w:rsidR="00013188" w:rsidRPr="00114062" w:rsidRDefault="00013188" w:rsidP="00013188">
            <w:pPr>
              <w:pStyle w:val="Bezmezer"/>
              <w:rPr>
                <w:rFonts w:asciiTheme="minorHAnsi" w:hAnsiTheme="minorHAnsi" w:cstheme="minorHAnsi"/>
                <w:sz w:val="18"/>
                <w:szCs w:val="18"/>
                <w:highlight w:val="yellow"/>
              </w:rPr>
            </w:pPr>
            <w:r>
              <w:rPr>
                <w:lang w:eastAsia="cs-CZ"/>
              </w:rPr>
              <w:t>Bilirubin</w:t>
            </w:r>
          </w:p>
        </w:tc>
        <w:tc>
          <w:tcPr>
            <w:tcW w:w="1023" w:type="pct"/>
            <w:tcBorders>
              <w:top w:val="single" w:sz="12" w:space="0" w:color="auto"/>
              <w:left w:val="single" w:sz="12" w:space="0" w:color="auto"/>
              <w:bottom w:val="single" w:sz="12" w:space="0" w:color="auto"/>
              <w:right w:val="single" w:sz="12" w:space="0" w:color="auto"/>
            </w:tcBorders>
            <w:vAlign w:val="center"/>
          </w:tcPr>
          <w:p w14:paraId="7B15C562"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0D424082"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41B1711A"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4F4CBCEC"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61F83BAB"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55070B9A" w14:textId="128C38DC" w:rsidR="00013188" w:rsidRPr="00114062" w:rsidRDefault="00013188" w:rsidP="00013188">
            <w:pPr>
              <w:pStyle w:val="Bezmezer"/>
              <w:rPr>
                <w:rFonts w:asciiTheme="minorHAnsi" w:hAnsiTheme="minorHAnsi" w:cstheme="minorHAnsi"/>
                <w:sz w:val="18"/>
                <w:szCs w:val="18"/>
                <w:highlight w:val="yellow"/>
              </w:rPr>
            </w:pPr>
            <w:r>
              <w:rPr>
                <w:lang w:eastAsia="cs-CZ"/>
              </w:rPr>
              <w:t xml:space="preserve">Bilirubin </w:t>
            </w:r>
            <w:proofErr w:type="spellStart"/>
            <w:r>
              <w:rPr>
                <w:lang w:eastAsia="cs-CZ"/>
              </w:rPr>
              <w:t>konj</w:t>
            </w:r>
            <w:proofErr w:type="spellEnd"/>
            <w:r>
              <w:rPr>
                <w:lang w:eastAsia="cs-CZ"/>
              </w:rPr>
              <w:t>.</w:t>
            </w:r>
          </w:p>
        </w:tc>
        <w:tc>
          <w:tcPr>
            <w:tcW w:w="1023" w:type="pct"/>
            <w:tcBorders>
              <w:top w:val="single" w:sz="12" w:space="0" w:color="auto"/>
              <w:left w:val="single" w:sz="12" w:space="0" w:color="auto"/>
              <w:bottom w:val="single" w:sz="12" w:space="0" w:color="auto"/>
              <w:right w:val="single" w:sz="12" w:space="0" w:color="auto"/>
            </w:tcBorders>
            <w:vAlign w:val="center"/>
          </w:tcPr>
          <w:p w14:paraId="7B0BFEA6"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16351CC5"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0E9D6BCA"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483CDD07"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72F62CD6"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0B15FF11" w14:textId="221D33DB" w:rsidR="00013188" w:rsidRPr="00114062" w:rsidRDefault="00013188" w:rsidP="00013188">
            <w:pPr>
              <w:pStyle w:val="Bezmezer"/>
              <w:rPr>
                <w:rFonts w:asciiTheme="minorHAnsi" w:hAnsiTheme="minorHAnsi" w:cstheme="minorHAnsi"/>
                <w:sz w:val="18"/>
                <w:szCs w:val="18"/>
                <w:highlight w:val="yellow"/>
              </w:rPr>
            </w:pPr>
            <w:r>
              <w:rPr>
                <w:lang w:eastAsia="cs-CZ"/>
              </w:rPr>
              <w:t>GMT</w:t>
            </w:r>
          </w:p>
        </w:tc>
        <w:tc>
          <w:tcPr>
            <w:tcW w:w="1023" w:type="pct"/>
            <w:tcBorders>
              <w:top w:val="single" w:sz="12" w:space="0" w:color="auto"/>
              <w:left w:val="single" w:sz="12" w:space="0" w:color="auto"/>
              <w:bottom w:val="single" w:sz="12" w:space="0" w:color="auto"/>
              <w:right w:val="single" w:sz="12" w:space="0" w:color="auto"/>
            </w:tcBorders>
            <w:vAlign w:val="center"/>
          </w:tcPr>
          <w:p w14:paraId="67B419C4"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034D643A"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4B0AA763"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2C46225"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64D1AA6"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6D396AC4" w14:textId="21E95B6F" w:rsidR="00013188" w:rsidRPr="00114062" w:rsidRDefault="00013188" w:rsidP="00013188">
            <w:pPr>
              <w:pStyle w:val="Bezmezer"/>
              <w:rPr>
                <w:rFonts w:asciiTheme="minorHAnsi" w:hAnsiTheme="minorHAnsi" w:cstheme="minorHAnsi"/>
                <w:sz w:val="18"/>
                <w:szCs w:val="18"/>
                <w:highlight w:val="yellow"/>
              </w:rPr>
            </w:pPr>
            <w:r>
              <w:rPr>
                <w:lang w:eastAsia="cs-CZ"/>
              </w:rPr>
              <w:t>Urea</w:t>
            </w:r>
          </w:p>
        </w:tc>
        <w:tc>
          <w:tcPr>
            <w:tcW w:w="1023" w:type="pct"/>
            <w:tcBorders>
              <w:top w:val="single" w:sz="12" w:space="0" w:color="auto"/>
              <w:left w:val="single" w:sz="12" w:space="0" w:color="auto"/>
              <w:bottom w:val="single" w:sz="12" w:space="0" w:color="auto"/>
              <w:right w:val="single" w:sz="12" w:space="0" w:color="auto"/>
            </w:tcBorders>
            <w:vAlign w:val="center"/>
          </w:tcPr>
          <w:p w14:paraId="7ABE14E5"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69347C4A"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1D9120B1"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639FD8CD"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7C9F735"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5704148A" w14:textId="1F4E61D3" w:rsidR="00013188" w:rsidRPr="00114062" w:rsidRDefault="00013188" w:rsidP="00013188">
            <w:pPr>
              <w:pStyle w:val="Bezmezer"/>
              <w:rPr>
                <w:rFonts w:asciiTheme="minorHAnsi" w:hAnsiTheme="minorHAnsi" w:cstheme="minorHAnsi"/>
                <w:sz w:val="18"/>
                <w:szCs w:val="18"/>
                <w:highlight w:val="yellow"/>
              </w:rPr>
            </w:pPr>
            <w:r>
              <w:rPr>
                <w:lang w:eastAsia="cs-CZ"/>
              </w:rPr>
              <w:t>Cholesterol</w:t>
            </w:r>
          </w:p>
        </w:tc>
        <w:tc>
          <w:tcPr>
            <w:tcW w:w="1023" w:type="pct"/>
            <w:tcBorders>
              <w:top w:val="single" w:sz="12" w:space="0" w:color="auto"/>
              <w:left w:val="single" w:sz="12" w:space="0" w:color="auto"/>
              <w:bottom w:val="single" w:sz="12" w:space="0" w:color="auto"/>
              <w:right w:val="single" w:sz="12" w:space="0" w:color="auto"/>
            </w:tcBorders>
            <w:vAlign w:val="center"/>
          </w:tcPr>
          <w:p w14:paraId="34A93B5E"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5B575073"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3FB63AAC"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4CF5ABBB"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4EF4D449"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6A1D70A9" w14:textId="6227F802" w:rsidR="00013188" w:rsidRPr="00114062" w:rsidRDefault="00013188" w:rsidP="00013188">
            <w:pPr>
              <w:pStyle w:val="Bezmezer"/>
              <w:rPr>
                <w:rFonts w:asciiTheme="minorHAnsi" w:hAnsiTheme="minorHAnsi" w:cstheme="minorHAnsi"/>
                <w:sz w:val="18"/>
                <w:szCs w:val="18"/>
                <w:highlight w:val="yellow"/>
              </w:rPr>
            </w:pPr>
            <w:r>
              <w:rPr>
                <w:lang w:eastAsia="cs-CZ"/>
              </w:rPr>
              <w:t>ALP</w:t>
            </w:r>
          </w:p>
        </w:tc>
        <w:tc>
          <w:tcPr>
            <w:tcW w:w="1023" w:type="pct"/>
            <w:tcBorders>
              <w:top w:val="single" w:sz="12" w:space="0" w:color="auto"/>
              <w:left w:val="single" w:sz="12" w:space="0" w:color="auto"/>
              <w:bottom w:val="single" w:sz="12" w:space="0" w:color="auto"/>
              <w:right w:val="single" w:sz="12" w:space="0" w:color="auto"/>
            </w:tcBorders>
            <w:vAlign w:val="center"/>
          </w:tcPr>
          <w:p w14:paraId="444040FD"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700A0013"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4AB1D4C2"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233BFA0F"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63D6F115"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2180CF43" w14:textId="01120F4E" w:rsidR="00013188" w:rsidRPr="00114062" w:rsidRDefault="00013188" w:rsidP="00013188">
            <w:pPr>
              <w:pStyle w:val="Bezmezer"/>
              <w:rPr>
                <w:rFonts w:asciiTheme="minorHAnsi" w:hAnsiTheme="minorHAnsi" w:cstheme="minorHAnsi"/>
                <w:sz w:val="18"/>
                <w:szCs w:val="18"/>
                <w:highlight w:val="yellow"/>
              </w:rPr>
            </w:pPr>
            <w:r>
              <w:rPr>
                <w:lang w:eastAsia="cs-CZ"/>
              </w:rPr>
              <w:t>TAG</w:t>
            </w:r>
          </w:p>
        </w:tc>
        <w:tc>
          <w:tcPr>
            <w:tcW w:w="1023" w:type="pct"/>
            <w:tcBorders>
              <w:top w:val="single" w:sz="12" w:space="0" w:color="auto"/>
              <w:left w:val="single" w:sz="12" w:space="0" w:color="auto"/>
              <w:bottom w:val="single" w:sz="12" w:space="0" w:color="auto"/>
              <w:right w:val="single" w:sz="12" w:space="0" w:color="auto"/>
            </w:tcBorders>
            <w:vAlign w:val="center"/>
          </w:tcPr>
          <w:p w14:paraId="2A4175CC"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2C50E5D5"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368DE43C"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C79B30D"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2F0DF314"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7EB9A1B" w14:textId="6E45A361" w:rsidR="00013188" w:rsidRPr="00114062" w:rsidRDefault="00013188" w:rsidP="00013188">
            <w:pPr>
              <w:pStyle w:val="Bezmezer"/>
              <w:rPr>
                <w:rFonts w:asciiTheme="minorHAnsi" w:hAnsiTheme="minorHAnsi" w:cstheme="minorHAnsi"/>
                <w:sz w:val="18"/>
                <w:szCs w:val="18"/>
                <w:highlight w:val="yellow"/>
              </w:rPr>
            </w:pPr>
            <w:r>
              <w:rPr>
                <w:lang w:eastAsia="cs-CZ"/>
              </w:rPr>
              <w:t>Vápník</w:t>
            </w:r>
          </w:p>
        </w:tc>
        <w:tc>
          <w:tcPr>
            <w:tcW w:w="1023" w:type="pct"/>
            <w:tcBorders>
              <w:top w:val="single" w:sz="12" w:space="0" w:color="auto"/>
              <w:left w:val="single" w:sz="12" w:space="0" w:color="auto"/>
              <w:bottom w:val="single" w:sz="12" w:space="0" w:color="auto"/>
              <w:right w:val="single" w:sz="12" w:space="0" w:color="auto"/>
            </w:tcBorders>
            <w:vAlign w:val="center"/>
          </w:tcPr>
          <w:p w14:paraId="4011B732"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02ADBEDA"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5E7F61D2"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57D8B112"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47AB81EF"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533238D" w14:textId="25CA6D14" w:rsidR="00013188" w:rsidRPr="00114062" w:rsidRDefault="00013188" w:rsidP="00013188">
            <w:pPr>
              <w:pStyle w:val="Bezmezer"/>
              <w:rPr>
                <w:rFonts w:asciiTheme="minorHAnsi" w:hAnsiTheme="minorHAnsi" w:cstheme="minorHAnsi"/>
                <w:sz w:val="18"/>
                <w:szCs w:val="18"/>
                <w:highlight w:val="yellow"/>
              </w:rPr>
            </w:pPr>
            <w:r>
              <w:rPr>
                <w:lang w:eastAsia="cs-CZ"/>
              </w:rPr>
              <w:t xml:space="preserve">LDL </w:t>
            </w:r>
            <w:proofErr w:type="spellStart"/>
            <w:r>
              <w:rPr>
                <w:lang w:eastAsia="cs-CZ"/>
              </w:rPr>
              <w:t>chol</w:t>
            </w:r>
            <w:proofErr w:type="spellEnd"/>
            <w:r>
              <w:rPr>
                <w:lang w:eastAsia="cs-CZ"/>
              </w:rPr>
              <w:t>.</w:t>
            </w:r>
          </w:p>
        </w:tc>
        <w:tc>
          <w:tcPr>
            <w:tcW w:w="1023" w:type="pct"/>
            <w:tcBorders>
              <w:top w:val="single" w:sz="12" w:space="0" w:color="auto"/>
              <w:left w:val="single" w:sz="12" w:space="0" w:color="auto"/>
              <w:bottom w:val="single" w:sz="12" w:space="0" w:color="auto"/>
              <w:right w:val="single" w:sz="12" w:space="0" w:color="auto"/>
            </w:tcBorders>
            <w:vAlign w:val="center"/>
          </w:tcPr>
          <w:p w14:paraId="3578B80B"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73395D74"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7AC314B6"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28FE87C6"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E1019CB"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19A480D9" w14:textId="35CB7409" w:rsidR="00013188" w:rsidRPr="00114062" w:rsidRDefault="00013188" w:rsidP="00013188">
            <w:pPr>
              <w:pStyle w:val="Bezmezer"/>
              <w:rPr>
                <w:rFonts w:asciiTheme="minorHAnsi" w:hAnsiTheme="minorHAnsi" w:cstheme="minorHAnsi"/>
                <w:sz w:val="18"/>
                <w:szCs w:val="18"/>
                <w:highlight w:val="yellow"/>
              </w:rPr>
            </w:pPr>
            <w:r>
              <w:rPr>
                <w:lang w:eastAsia="cs-CZ"/>
              </w:rPr>
              <w:t xml:space="preserve">HDL </w:t>
            </w:r>
            <w:proofErr w:type="spellStart"/>
            <w:r>
              <w:rPr>
                <w:lang w:eastAsia="cs-CZ"/>
              </w:rPr>
              <w:t>chol</w:t>
            </w:r>
            <w:proofErr w:type="spellEnd"/>
            <w:r>
              <w:rPr>
                <w:lang w:eastAsia="cs-CZ"/>
              </w:rPr>
              <w:t>.</w:t>
            </w:r>
          </w:p>
        </w:tc>
        <w:tc>
          <w:tcPr>
            <w:tcW w:w="1023" w:type="pct"/>
            <w:tcBorders>
              <w:top w:val="single" w:sz="12" w:space="0" w:color="auto"/>
              <w:left w:val="single" w:sz="12" w:space="0" w:color="auto"/>
              <w:bottom w:val="single" w:sz="12" w:space="0" w:color="auto"/>
              <w:right w:val="single" w:sz="12" w:space="0" w:color="auto"/>
            </w:tcBorders>
            <w:vAlign w:val="center"/>
          </w:tcPr>
          <w:p w14:paraId="46F9EF4D"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7D5E2F77"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214FE7E9"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11809CE8"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737373BF"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1ABA4C5A" w14:textId="04C0E64B" w:rsidR="00013188" w:rsidRPr="00114062" w:rsidRDefault="00013188" w:rsidP="00013188">
            <w:pPr>
              <w:pStyle w:val="Bezmezer"/>
              <w:rPr>
                <w:rFonts w:asciiTheme="minorHAnsi" w:hAnsiTheme="minorHAnsi" w:cstheme="minorHAnsi"/>
                <w:sz w:val="18"/>
                <w:szCs w:val="18"/>
                <w:highlight w:val="yellow"/>
              </w:rPr>
            </w:pPr>
            <w:r>
              <w:rPr>
                <w:lang w:eastAsia="cs-CZ"/>
              </w:rPr>
              <w:t>TSH</w:t>
            </w:r>
          </w:p>
        </w:tc>
        <w:tc>
          <w:tcPr>
            <w:tcW w:w="1023" w:type="pct"/>
            <w:tcBorders>
              <w:top w:val="single" w:sz="12" w:space="0" w:color="auto"/>
              <w:left w:val="single" w:sz="12" w:space="0" w:color="auto"/>
              <w:bottom w:val="single" w:sz="12" w:space="0" w:color="auto"/>
              <w:right w:val="single" w:sz="12" w:space="0" w:color="auto"/>
            </w:tcBorders>
            <w:vAlign w:val="center"/>
          </w:tcPr>
          <w:p w14:paraId="12ADD36D"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3194AA15"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2F4DA4EC"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50BCBB8A"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05BC6A4"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6CAA67EF" w14:textId="3E50414E" w:rsidR="00013188" w:rsidRPr="00114062" w:rsidRDefault="00013188" w:rsidP="00013188">
            <w:pPr>
              <w:pStyle w:val="Bezmezer"/>
              <w:rPr>
                <w:rFonts w:asciiTheme="minorHAnsi" w:hAnsiTheme="minorHAnsi" w:cstheme="minorHAnsi"/>
                <w:sz w:val="18"/>
                <w:szCs w:val="18"/>
                <w:highlight w:val="yellow"/>
              </w:rPr>
            </w:pPr>
            <w:r>
              <w:rPr>
                <w:lang w:eastAsia="cs-CZ"/>
              </w:rPr>
              <w:t>fT4</w:t>
            </w:r>
          </w:p>
        </w:tc>
        <w:tc>
          <w:tcPr>
            <w:tcW w:w="1023" w:type="pct"/>
            <w:tcBorders>
              <w:top w:val="single" w:sz="12" w:space="0" w:color="auto"/>
              <w:left w:val="single" w:sz="12" w:space="0" w:color="auto"/>
              <w:bottom w:val="single" w:sz="12" w:space="0" w:color="auto"/>
              <w:right w:val="single" w:sz="12" w:space="0" w:color="auto"/>
            </w:tcBorders>
            <w:vAlign w:val="center"/>
          </w:tcPr>
          <w:p w14:paraId="305B7042"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3EEE6726"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5AF7E81B"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39042B3"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6CA00E29"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5BE02D8F" w14:textId="415D5355" w:rsidR="00013188" w:rsidRPr="00114062" w:rsidRDefault="00013188" w:rsidP="00013188">
            <w:pPr>
              <w:pStyle w:val="Bezmezer"/>
              <w:rPr>
                <w:rFonts w:asciiTheme="minorHAnsi" w:hAnsiTheme="minorHAnsi" w:cstheme="minorHAnsi"/>
                <w:sz w:val="18"/>
                <w:szCs w:val="18"/>
                <w:highlight w:val="yellow"/>
              </w:rPr>
            </w:pPr>
            <w:proofErr w:type="spellStart"/>
            <w:r>
              <w:rPr>
                <w:lang w:eastAsia="cs-CZ"/>
              </w:rPr>
              <w:t>TnI</w:t>
            </w:r>
            <w:proofErr w:type="spellEnd"/>
          </w:p>
        </w:tc>
        <w:tc>
          <w:tcPr>
            <w:tcW w:w="1023" w:type="pct"/>
            <w:tcBorders>
              <w:top w:val="single" w:sz="12" w:space="0" w:color="auto"/>
              <w:left w:val="single" w:sz="12" w:space="0" w:color="auto"/>
              <w:bottom w:val="single" w:sz="12" w:space="0" w:color="auto"/>
              <w:right w:val="single" w:sz="12" w:space="0" w:color="auto"/>
            </w:tcBorders>
            <w:vAlign w:val="center"/>
          </w:tcPr>
          <w:p w14:paraId="47FA3C30"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65E3C7C4"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6E738B3C"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61B15F40"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73FDE358"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534C3B05" w14:textId="6653415B" w:rsidR="00013188" w:rsidRPr="00114062" w:rsidRDefault="00013188" w:rsidP="00013188">
            <w:pPr>
              <w:pStyle w:val="Bezmezer"/>
              <w:rPr>
                <w:rFonts w:asciiTheme="minorHAnsi" w:hAnsiTheme="minorHAnsi" w:cstheme="minorHAnsi"/>
                <w:sz w:val="18"/>
                <w:szCs w:val="18"/>
                <w:highlight w:val="yellow"/>
              </w:rPr>
            </w:pPr>
            <w:r>
              <w:rPr>
                <w:lang w:eastAsia="cs-CZ"/>
              </w:rPr>
              <w:t>CK-MB</w:t>
            </w:r>
          </w:p>
        </w:tc>
        <w:tc>
          <w:tcPr>
            <w:tcW w:w="1023" w:type="pct"/>
            <w:tcBorders>
              <w:top w:val="single" w:sz="12" w:space="0" w:color="auto"/>
              <w:left w:val="single" w:sz="12" w:space="0" w:color="auto"/>
              <w:bottom w:val="single" w:sz="12" w:space="0" w:color="auto"/>
              <w:right w:val="single" w:sz="12" w:space="0" w:color="auto"/>
            </w:tcBorders>
            <w:vAlign w:val="center"/>
          </w:tcPr>
          <w:p w14:paraId="2AB6BE5B"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3FB16EAB"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14EF6626"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3F2E72FB"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152187CB"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6E0790D7" w14:textId="34B02341" w:rsidR="00013188" w:rsidRPr="00114062" w:rsidRDefault="00013188" w:rsidP="00013188">
            <w:pPr>
              <w:pStyle w:val="Bezmezer"/>
              <w:rPr>
                <w:rFonts w:asciiTheme="minorHAnsi" w:hAnsiTheme="minorHAnsi" w:cstheme="minorHAnsi"/>
                <w:sz w:val="18"/>
                <w:szCs w:val="18"/>
                <w:highlight w:val="yellow"/>
              </w:rPr>
            </w:pPr>
            <w:r>
              <w:rPr>
                <w:lang w:eastAsia="cs-CZ"/>
              </w:rPr>
              <w:t>T-PSA</w:t>
            </w:r>
          </w:p>
        </w:tc>
        <w:tc>
          <w:tcPr>
            <w:tcW w:w="1023" w:type="pct"/>
            <w:tcBorders>
              <w:top w:val="single" w:sz="12" w:space="0" w:color="auto"/>
              <w:left w:val="single" w:sz="12" w:space="0" w:color="auto"/>
              <w:bottom w:val="single" w:sz="12" w:space="0" w:color="auto"/>
              <w:right w:val="single" w:sz="12" w:space="0" w:color="auto"/>
            </w:tcBorders>
            <w:vAlign w:val="center"/>
          </w:tcPr>
          <w:p w14:paraId="1821E6F4"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67A5CCCB"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5EAE83C0"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68014E30"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0F8A4E28"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2632FFE" w14:textId="51E5498E" w:rsidR="00013188" w:rsidRPr="00114062" w:rsidRDefault="00013188" w:rsidP="00013188">
            <w:pPr>
              <w:pStyle w:val="Bezmezer"/>
              <w:rPr>
                <w:rFonts w:asciiTheme="minorHAnsi" w:hAnsiTheme="minorHAnsi" w:cstheme="minorHAnsi"/>
                <w:sz w:val="18"/>
                <w:szCs w:val="18"/>
                <w:highlight w:val="yellow"/>
              </w:rPr>
            </w:pPr>
            <w:r>
              <w:rPr>
                <w:lang w:eastAsia="cs-CZ"/>
              </w:rPr>
              <w:t>PCT</w:t>
            </w:r>
          </w:p>
        </w:tc>
        <w:tc>
          <w:tcPr>
            <w:tcW w:w="1023" w:type="pct"/>
            <w:tcBorders>
              <w:top w:val="single" w:sz="12" w:space="0" w:color="auto"/>
              <w:left w:val="single" w:sz="12" w:space="0" w:color="auto"/>
              <w:bottom w:val="single" w:sz="12" w:space="0" w:color="auto"/>
              <w:right w:val="single" w:sz="12" w:space="0" w:color="auto"/>
            </w:tcBorders>
            <w:vAlign w:val="center"/>
          </w:tcPr>
          <w:p w14:paraId="7491A235"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1208B67B"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734D3D76"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53BBB38"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60C03973"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7E4FCEB" w14:textId="11070446" w:rsidR="00013188" w:rsidRPr="00114062" w:rsidRDefault="00013188" w:rsidP="00013188">
            <w:pPr>
              <w:pStyle w:val="Bezmezer"/>
              <w:rPr>
                <w:rFonts w:asciiTheme="minorHAnsi" w:hAnsiTheme="minorHAnsi" w:cstheme="minorHAnsi"/>
                <w:sz w:val="18"/>
                <w:szCs w:val="18"/>
                <w:highlight w:val="yellow"/>
              </w:rPr>
            </w:pPr>
            <w:proofErr w:type="spellStart"/>
            <w:r>
              <w:rPr>
                <w:lang w:eastAsia="cs-CZ"/>
              </w:rPr>
              <w:t>Ferritin</w:t>
            </w:r>
            <w:proofErr w:type="spellEnd"/>
          </w:p>
        </w:tc>
        <w:tc>
          <w:tcPr>
            <w:tcW w:w="1023" w:type="pct"/>
            <w:tcBorders>
              <w:top w:val="single" w:sz="12" w:space="0" w:color="auto"/>
              <w:left w:val="single" w:sz="12" w:space="0" w:color="auto"/>
              <w:bottom w:val="single" w:sz="12" w:space="0" w:color="auto"/>
              <w:right w:val="single" w:sz="12" w:space="0" w:color="auto"/>
            </w:tcBorders>
            <w:vAlign w:val="center"/>
          </w:tcPr>
          <w:p w14:paraId="225A18A1"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756F95A0"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54CC23B8"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368328C7"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72D21066"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7F6EEE20" w14:textId="553BB623" w:rsidR="00013188" w:rsidRDefault="00013188" w:rsidP="00013188">
            <w:pPr>
              <w:pStyle w:val="Bezmezer"/>
              <w:rPr>
                <w:lang w:eastAsia="cs-CZ"/>
              </w:rPr>
            </w:pPr>
            <w:r>
              <w:rPr>
                <w:lang w:eastAsia="cs-CZ"/>
              </w:rPr>
              <w:t>f-PSA</w:t>
            </w:r>
          </w:p>
        </w:tc>
        <w:tc>
          <w:tcPr>
            <w:tcW w:w="1023" w:type="pct"/>
            <w:tcBorders>
              <w:top w:val="single" w:sz="12" w:space="0" w:color="auto"/>
              <w:left w:val="single" w:sz="12" w:space="0" w:color="auto"/>
              <w:bottom w:val="single" w:sz="12" w:space="0" w:color="auto"/>
              <w:right w:val="single" w:sz="12" w:space="0" w:color="auto"/>
            </w:tcBorders>
            <w:vAlign w:val="center"/>
          </w:tcPr>
          <w:p w14:paraId="1B352C86"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61F9CA13"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46CA19FC"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5253C5A4"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3DDC3F90"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7FCC0180" w14:textId="6EC74C35" w:rsidR="00013188" w:rsidRDefault="00013188" w:rsidP="00013188">
            <w:pPr>
              <w:pStyle w:val="Bezmezer"/>
              <w:rPr>
                <w:lang w:eastAsia="cs-CZ"/>
              </w:rPr>
            </w:pPr>
            <w:r>
              <w:rPr>
                <w:lang w:eastAsia="cs-CZ"/>
              </w:rPr>
              <w:lastRenderedPageBreak/>
              <w:t>CEA</w:t>
            </w:r>
          </w:p>
        </w:tc>
        <w:tc>
          <w:tcPr>
            <w:tcW w:w="1023" w:type="pct"/>
            <w:tcBorders>
              <w:top w:val="single" w:sz="12" w:space="0" w:color="auto"/>
              <w:left w:val="single" w:sz="12" w:space="0" w:color="auto"/>
              <w:bottom w:val="single" w:sz="12" w:space="0" w:color="auto"/>
              <w:right w:val="single" w:sz="12" w:space="0" w:color="auto"/>
            </w:tcBorders>
            <w:vAlign w:val="center"/>
          </w:tcPr>
          <w:p w14:paraId="70CCBC2B"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795BAD43"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4D12D60E"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66AAB485" w14:textId="77777777" w:rsidR="00013188" w:rsidRPr="005E2562" w:rsidRDefault="00013188" w:rsidP="00013188">
            <w:pPr>
              <w:pStyle w:val="Bezmezer"/>
              <w:jc w:val="center"/>
              <w:rPr>
                <w:rFonts w:asciiTheme="minorHAnsi" w:hAnsiTheme="minorHAnsi" w:cstheme="minorHAnsi"/>
                <w:sz w:val="18"/>
                <w:szCs w:val="18"/>
                <w:highlight w:val="yellow"/>
              </w:rPr>
            </w:pPr>
          </w:p>
        </w:tc>
      </w:tr>
      <w:tr w:rsidR="00013188" w:rsidRPr="005E2562" w14:paraId="4B7C17C5" w14:textId="77777777" w:rsidTr="004B791E">
        <w:trPr>
          <w:trHeight w:val="466"/>
        </w:trPr>
        <w:tc>
          <w:tcPr>
            <w:tcW w:w="1167" w:type="pct"/>
            <w:tcBorders>
              <w:top w:val="single" w:sz="12" w:space="0" w:color="auto"/>
              <w:left w:val="single" w:sz="12" w:space="0" w:color="auto"/>
              <w:bottom w:val="single" w:sz="12" w:space="0" w:color="auto"/>
              <w:right w:val="single" w:sz="12" w:space="0" w:color="auto"/>
            </w:tcBorders>
          </w:tcPr>
          <w:p w14:paraId="457F4AB5" w14:textId="6EC371E1" w:rsidR="00013188" w:rsidRDefault="00013188" w:rsidP="00013188">
            <w:pPr>
              <w:pStyle w:val="Bezmezer"/>
              <w:rPr>
                <w:lang w:eastAsia="cs-CZ"/>
              </w:rPr>
            </w:pPr>
            <w:r>
              <w:rPr>
                <w:lang w:eastAsia="cs-CZ"/>
              </w:rPr>
              <w:t>CA 19-9</w:t>
            </w:r>
          </w:p>
        </w:tc>
        <w:tc>
          <w:tcPr>
            <w:tcW w:w="1023" w:type="pct"/>
            <w:tcBorders>
              <w:top w:val="single" w:sz="12" w:space="0" w:color="auto"/>
              <w:left w:val="single" w:sz="12" w:space="0" w:color="auto"/>
              <w:bottom w:val="single" w:sz="12" w:space="0" w:color="auto"/>
              <w:right w:val="single" w:sz="12" w:space="0" w:color="auto"/>
            </w:tcBorders>
            <w:vAlign w:val="center"/>
          </w:tcPr>
          <w:p w14:paraId="29267CE6" w14:textId="77777777" w:rsidR="00013188" w:rsidRPr="005E2562" w:rsidRDefault="00013188" w:rsidP="00013188">
            <w:pPr>
              <w:jc w:val="center"/>
              <w:rPr>
                <w:rFonts w:asciiTheme="minorHAnsi" w:hAnsiTheme="minorHAnsi" w:cstheme="minorHAnsi"/>
                <w:sz w:val="18"/>
                <w:szCs w:val="18"/>
                <w:highlight w:val="yellow"/>
              </w:rPr>
            </w:pPr>
          </w:p>
        </w:tc>
        <w:tc>
          <w:tcPr>
            <w:tcW w:w="474" w:type="pct"/>
            <w:tcBorders>
              <w:top w:val="single" w:sz="12" w:space="0" w:color="auto"/>
              <w:left w:val="single" w:sz="12" w:space="0" w:color="auto"/>
              <w:bottom w:val="single" w:sz="12" w:space="0" w:color="auto"/>
              <w:right w:val="single" w:sz="12" w:space="0" w:color="auto"/>
            </w:tcBorders>
            <w:vAlign w:val="center"/>
          </w:tcPr>
          <w:p w14:paraId="449257ED" w14:textId="77777777" w:rsidR="00013188" w:rsidRPr="005E2562" w:rsidRDefault="00013188" w:rsidP="00013188">
            <w:pPr>
              <w:jc w:val="center"/>
              <w:rPr>
                <w:rFonts w:asciiTheme="minorHAnsi" w:hAnsiTheme="minorHAnsi" w:cstheme="minorHAnsi"/>
                <w:sz w:val="18"/>
                <w:szCs w:val="18"/>
                <w:highlight w:val="yellow"/>
              </w:rPr>
            </w:pPr>
          </w:p>
        </w:tc>
        <w:tc>
          <w:tcPr>
            <w:tcW w:w="1122" w:type="pct"/>
            <w:tcBorders>
              <w:top w:val="single" w:sz="12" w:space="0" w:color="auto"/>
              <w:left w:val="single" w:sz="12" w:space="0" w:color="auto"/>
              <w:bottom w:val="single" w:sz="12" w:space="0" w:color="auto"/>
              <w:right w:val="single" w:sz="12" w:space="0" w:color="auto"/>
            </w:tcBorders>
            <w:vAlign w:val="center"/>
          </w:tcPr>
          <w:p w14:paraId="3D43E6CE" w14:textId="77777777" w:rsidR="00013188" w:rsidRPr="005E2562" w:rsidRDefault="00013188" w:rsidP="00013188">
            <w:pPr>
              <w:jc w:val="center"/>
              <w:rPr>
                <w:rFonts w:asciiTheme="minorHAnsi" w:hAnsiTheme="minorHAnsi" w:cstheme="minorHAnsi"/>
                <w:sz w:val="18"/>
                <w:szCs w:val="18"/>
                <w:highlight w:val="yellow"/>
              </w:rPr>
            </w:pPr>
          </w:p>
        </w:tc>
        <w:tc>
          <w:tcPr>
            <w:tcW w:w="1215" w:type="pct"/>
            <w:tcBorders>
              <w:top w:val="single" w:sz="12" w:space="0" w:color="auto"/>
              <w:left w:val="single" w:sz="12" w:space="0" w:color="auto"/>
              <w:bottom w:val="single" w:sz="12" w:space="0" w:color="auto"/>
              <w:right w:val="single" w:sz="12" w:space="0" w:color="auto"/>
            </w:tcBorders>
            <w:vAlign w:val="center"/>
          </w:tcPr>
          <w:p w14:paraId="70FA4027" w14:textId="77777777" w:rsidR="00013188" w:rsidRPr="005E2562" w:rsidRDefault="00013188" w:rsidP="00013188">
            <w:pPr>
              <w:pStyle w:val="Bezmezer"/>
              <w:jc w:val="center"/>
              <w:rPr>
                <w:rFonts w:asciiTheme="minorHAnsi" w:hAnsiTheme="minorHAnsi" w:cstheme="minorHAnsi"/>
                <w:sz w:val="18"/>
                <w:szCs w:val="18"/>
                <w:highlight w:val="yellow"/>
              </w:rPr>
            </w:pPr>
          </w:p>
        </w:tc>
      </w:tr>
    </w:tbl>
    <w:p w14:paraId="4959839C" w14:textId="77777777" w:rsidR="007E62E9" w:rsidRPr="007E62E9" w:rsidRDefault="007E62E9" w:rsidP="00AF66FC">
      <w:pPr>
        <w:rPr>
          <w:rFonts w:ascii="Calibri" w:hAnsi="Calibri" w:cs="Calibri"/>
          <w:b/>
          <w:sz w:val="22"/>
          <w:szCs w:val="22"/>
        </w:rPr>
      </w:pPr>
    </w:p>
    <w:sectPr w:rsidR="007E62E9" w:rsidRPr="007E62E9">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17CB3" w14:textId="77777777" w:rsidR="00B40282" w:rsidRDefault="00B40282" w:rsidP="00333B13">
      <w:r>
        <w:separator/>
      </w:r>
    </w:p>
  </w:endnote>
  <w:endnote w:type="continuationSeparator" w:id="0">
    <w:p w14:paraId="782B4CA3" w14:textId="77777777" w:rsidR="00B40282" w:rsidRDefault="00B40282"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A04392" w14:textId="16130999"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Název projektu: „</w:t>
    </w:r>
    <w:r w:rsidR="001021B3" w:rsidRPr="001021B3">
      <w:rPr>
        <w:rFonts w:ascii="Calibri" w:hAnsi="Calibri"/>
        <w:i/>
        <w:iCs/>
        <w:sz w:val="20"/>
        <w:szCs w:val="20"/>
      </w:rPr>
      <w:t>Modernizace různých přístrojů a vybavení speciální zdravotní prostředky</w:t>
    </w:r>
    <w:r w:rsidRPr="00F07CDA">
      <w:rPr>
        <w:rFonts w:ascii="Calibri" w:hAnsi="Calibri"/>
        <w:i/>
        <w:iCs/>
        <w:sz w:val="20"/>
        <w:szCs w:val="20"/>
      </w:rPr>
      <w:t xml:space="preserve">“, </w:t>
    </w:r>
  </w:p>
  <w:p w14:paraId="2B4D21EA" w14:textId="6EA0D17C" w:rsidR="00F07CDA" w:rsidRPr="00F07CDA" w:rsidRDefault="00F07CDA" w:rsidP="00F07CDA">
    <w:pPr>
      <w:pStyle w:val="Zpat"/>
      <w:tabs>
        <w:tab w:val="left" w:pos="6330"/>
        <w:tab w:val="right" w:pos="9864"/>
      </w:tabs>
      <w:rPr>
        <w:rFonts w:ascii="Calibri" w:hAnsi="Calibri" w:cs="Calibri"/>
        <w:i/>
        <w:iCs/>
        <w:sz w:val="20"/>
        <w:szCs w:val="20"/>
      </w:rPr>
    </w:pPr>
    <w:r w:rsidRPr="00F07CDA">
      <w:rPr>
        <w:rFonts w:ascii="Calibri" w:hAnsi="Calibri"/>
        <w:i/>
        <w:iCs/>
        <w:sz w:val="20"/>
        <w:szCs w:val="20"/>
      </w:rPr>
      <w:t>reg. č. CZ.06.2.56/0.0/0.0./16_043/00015</w:t>
    </w:r>
    <w:bookmarkEnd w:id="4"/>
    <w:r w:rsidR="001021B3">
      <w:rPr>
        <w:rFonts w:ascii="Calibri" w:hAnsi="Calibri"/>
        <w:i/>
        <w:iCs/>
        <w:sz w:val="20"/>
        <w:szCs w:val="20"/>
      </w:rPr>
      <w:t>80</w:t>
    </w:r>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7C27CF" w14:textId="77777777" w:rsidR="00B40282" w:rsidRDefault="00B40282" w:rsidP="00333B13">
      <w:r>
        <w:separator/>
      </w:r>
    </w:p>
  </w:footnote>
  <w:footnote w:type="continuationSeparator" w:id="0">
    <w:p w14:paraId="1546B453" w14:textId="77777777" w:rsidR="00B40282" w:rsidRDefault="00B40282"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C66A3" w14:textId="1784F227" w:rsidR="00333B13" w:rsidRDefault="001021B3">
    <w:pPr>
      <w:pStyle w:val="Zhlav"/>
    </w:pP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58EFDA79">
          <wp:simplePos x="0" y="0"/>
          <wp:positionH relativeFrom="margin">
            <wp:posOffset>3813175</wp:posOffset>
          </wp:positionH>
          <wp:positionV relativeFrom="paragraph">
            <wp:posOffset>-182245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FE84B87">
          <wp:simplePos x="0" y="0"/>
          <wp:positionH relativeFrom="margin">
            <wp:posOffset>-609600</wp:posOffset>
          </wp:positionH>
          <wp:positionV relativeFrom="paragraph">
            <wp:posOffset>-282575</wp:posOffset>
          </wp:positionV>
          <wp:extent cx="4197600" cy="763200"/>
          <wp:effectExtent l="0" t="0" r="0" b="0"/>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95334"/>
    <w:rsid w:val="000D1A86"/>
    <w:rsid w:val="000E0C99"/>
    <w:rsid w:val="000E144B"/>
    <w:rsid w:val="000F2E1E"/>
    <w:rsid w:val="001021B3"/>
    <w:rsid w:val="00155666"/>
    <w:rsid w:val="001736AD"/>
    <w:rsid w:val="001771D3"/>
    <w:rsid w:val="001A3593"/>
    <w:rsid w:val="001A7DF1"/>
    <w:rsid w:val="001F7F4A"/>
    <w:rsid w:val="0023390B"/>
    <w:rsid w:val="002B7F32"/>
    <w:rsid w:val="002C1653"/>
    <w:rsid w:val="00310376"/>
    <w:rsid w:val="00333B13"/>
    <w:rsid w:val="00362208"/>
    <w:rsid w:val="00370B24"/>
    <w:rsid w:val="003C73E9"/>
    <w:rsid w:val="003C79D5"/>
    <w:rsid w:val="003D269F"/>
    <w:rsid w:val="00461285"/>
    <w:rsid w:val="004839E6"/>
    <w:rsid w:val="004A6194"/>
    <w:rsid w:val="004B791E"/>
    <w:rsid w:val="004C4CC3"/>
    <w:rsid w:val="005054FB"/>
    <w:rsid w:val="0053243A"/>
    <w:rsid w:val="00593181"/>
    <w:rsid w:val="00596418"/>
    <w:rsid w:val="00616DD3"/>
    <w:rsid w:val="0063552D"/>
    <w:rsid w:val="00681FE2"/>
    <w:rsid w:val="006F7161"/>
    <w:rsid w:val="00727F09"/>
    <w:rsid w:val="007E62E9"/>
    <w:rsid w:val="00804865"/>
    <w:rsid w:val="008323DA"/>
    <w:rsid w:val="00837594"/>
    <w:rsid w:val="00944424"/>
    <w:rsid w:val="00947DF4"/>
    <w:rsid w:val="009541A4"/>
    <w:rsid w:val="009701BE"/>
    <w:rsid w:val="00980327"/>
    <w:rsid w:val="009811A9"/>
    <w:rsid w:val="009A1777"/>
    <w:rsid w:val="009A1B48"/>
    <w:rsid w:val="009A5465"/>
    <w:rsid w:val="009B51E3"/>
    <w:rsid w:val="009D0020"/>
    <w:rsid w:val="009F154A"/>
    <w:rsid w:val="00AE079D"/>
    <w:rsid w:val="00AE46C4"/>
    <w:rsid w:val="00AF66FC"/>
    <w:rsid w:val="00B40282"/>
    <w:rsid w:val="00B57DD9"/>
    <w:rsid w:val="00B6305A"/>
    <w:rsid w:val="00C5589A"/>
    <w:rsid w:val="00C56BFB"/>
    <w:rsid w:val="00C81288"/>
    <w:rsid w:val="00C964FD"/>
    <w:rsid w:val="00CB2431"/>
    <w:rsid w:val="00D578E0"/>
    <w:rsid w:val="00DA1AB6"/>
    <w:rsid w:val="00E07D01"/>
    <w:rsid w:val="00E12FCD"/>
    <w:rsid w:val="00E16722"/>
    <w:rsid w:val="00E55331"/>
    <w:rsid w:val="00E71DB4"/>
    <w:rsid w:val="00EB2EB2"/>
    <w:rsid w:val="00EC5737"/>
    <w:rsid w:val="00F007BB"/>
    <w:rsid w:val="00F07CDA"/>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semiHidden/>
    <w:unhideWhenUsed/>
    <w:rsid w:val="00B57DD9"/>
    <w:pPr>
      <w:spacing w:after="120"/>
    </w:pPr>
  </w:style>
  <w:style w:type="character" w:customStyle="1" w:styleId="ZkladntextChar">
    <w:name w:val="Základní text Char"/>
    <w:basedOn w:val="Standardnpsmoodstavce"/>
    <w:link w:val="Zkladntext"/>
    <w:uiPriority w:val="99"/>
    <w:semiHidden/>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nempk.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85F0A3-3F51-43DD-862B-A2C473A7CA55}">
  <ds:schemaRefs>
    <ds:schemaRef ds:uri="http://schemas.openxmlformats.org/officeDocument/2006/bibliography"/>
  </ds:schemaRefs>
</ds:datastoreItem>
</file>

<file path=customXml/itemProps2.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4.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11</Pages>
  <Words>3330</Words>
  <Characters>19649</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Jaroslava Čížková</cp:lastModifiedBy>
  <cp:revision>4</cp:revision>
  <cp:lastPrinted>2018-05-10T08:21:00Z</cp:lastPrinted>
  <dcterms:created xsi:type="dcterms:W3CDTF">2020-08-19T04:48:00Z</dcterms:created>
  <dcterms:modified xsi:type="dcterms:W3CDTF">2020-09-25T17:47:00Z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